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6B" w:rsidRPr="00076C20" w:rsidRDefault="00E13E6B" w:rsidP="00531D1E">
      <w:pPr>
        <w:ind w:left="2835" w:right="1843" w:hanging="992"/>
        <w:jc w:val="both"/>
        <w:rPr>
          <w:rFonts w:ascii="Tahoma" w:hAnsi="Tahoma" w:cs="Tahoma"/>
          <w:i/>
          <w:sz w:val="16"/>
          <w:szCs w:val="16"/>
        </w:rPr>
      </w:pPr>
      <w:r w:rsidRPr="00076C20">
        <w:rPr>
          <w:rFonts w:ascii="Tahoma" w:hAnsi="Tahoma" w:cs="Tahoma"/>
          <w:b/>
          <w:i/>
          <w:sz w:val="16"/>
          <w:szCs w:val="16"/>
        </w:rPr>
        <w:t xml:space="preserve">Sumilla: </w:t>
      </w:r>
      <w:r w:rsidR="005E6E6D" w:rsidRPr="00076C20">
        <w:rPr>
          <w:rFonts w:ascii="Tahoma" w:hAnsi="Tahoma" w:cs="Tahoma"/>
          <w:b/>
          <w:i/>
          <w:sz w:val="16"/>
          <w:szCs w:val="16"/>
        </w:rPr>
        <w:t xml:space="preserve">   </w:t>
      </w:r>
      <w:r w:rsidR="00076C20">
        <w:rPr>
          <w:rFonts w:ascii="Tahoma" w:hAnsi="Tahoma" w:cs="Tahoma"/>
          <w:b/>
          <w:i/>
          <w:sz w:val="16"/>
          <w:szCs w:val="16"/>
        </w:rPr>
        <w:t xml:space="preserve">   </w:t>
      </w:r>
      <w:r w:rsidR="00635F2E" w:rsidRPr="00076C20">
        <w:rPr>
          <w:rFonts w:ascii="Tahoma" w:hAnsi="Tahoma" w:cs="Tahoma"/>
          <w:b/>
          <w:i/>
          <w:sz w:val="16"/>
          <w:szCs w:val="16"/>
        </w:rPr>
        <w:t>“</w:t>
      </w:r>
      <w:r w:rsidR="00FF6B17" w:rsidRPr="00076C20">
        <w:rPr>
          <w:rFonts w:ascii="Tahoma" w:hAnsi="Tahoma" w:cs="Tahoma"/>
          <w:i/>
          <w:sz w:val="16"/>
          <w:szCs w:val="16"/>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w:t>
      </w:r>
      <w:r w:rsidR="009B3C77" w:rsidRPr="00076C20">
        <w:rPr>
          <w:rFonts w:ascii="Tahoma" w:hAnsi="Tahoma" w:cs="Tahoma"/>
          <w:i/>
          <w:sz w:val="16"/>
          <w:szCs w:val="16"/>
        </w:rPr>
        <w:t>ausal atribuible al Contratista</w:t>
      </w:r>
      <w:r w:rsidR="00635F2E" w:rsidRPr="00076C20">
        <w:rPr>
          <w:rFonts w:ascii="Tahoma" w:hAnsi="Tahoma" w:cs="Tahoma"/>
          <w:i/>
          <w:sz w:val="16"/>
          <w:szCs w:val="16"/>
        </w:rPr>
        <w:t>”.</w:t>
      </w:r>
    </w:p>
    <w:p w:rsidR="00E13E6B" w:rsidRPr="00076C20" w:rsidRDefault="00E13E6B" w:rsidP="00E13E6B">
      <w:pPr>
        <w:ind w:left="2268" w:right="1843"/>
        <w:jc w:val="both"/>
        <w:rPr>
          <w:rFonts w:ascii="Tahoma" w:hAnsi="Tahoma" w:cs="Tahoma"/>
          <w:b/>
          <w:i/>
          <w:sz w:val="20"/>
          <w:szCs w:val="20"/>
          <w:highlight w:val="yellow"/>
        </w:rPr>
      </w:pPr>
    </w:p>
    <w:p w:rsidR="00E13E6B" w:rsidRPr="00076C20" w:rsidRDefault="00E13E6B" w:rsidP="00E13E6B">
      <w:pPr>
        <w:pStyle w:val="Textoindependiente3"/>
        <w:ind w:left="4956" w:firstLine="708"/>
        <w:jc w:val="both"/>
        <w:rPr>
          <w:rFonts w:ascii="Tahoma" w:hAnsi="Tahoma" w:cs="Tahoma"/>
        </w:rPr>
      </w:pPr>
      <w:r w:rsidRPr="00076C20">
        <w:rPr>
          <w:rFonts w:ascii="Tahoma" w:hAnsi="Tahoma" w:cs="Tahoma"/>
        </w:rPr>
        <w:t xml:space="preserve">Lima, </w:t>
      </w:r>
      <w:r w:rsidR="007B32A4">
        <w:rPr>
          <w:rFonts w:ascii="Tahoma" w:hAnsi="Tahoma" w:cs="Tahoma"/>
        </w:rPr>
        <w:t>27 de Mayo de 2011</w:t>
      </w:r>
    </w:p>
    <w:p w:rsidR="00E13E6B" w:rsidRPr="00076C20" w:rsidRDefault="00E13E6B" w:rsidP="00E13E6B">
      <w:pPr>
        <w:pStyle w:val="Textoindependiente3"/>
        <w:jc w:val="both"/>
        <w:rPr>
          <w:rFonts w:ascii="Tahoma" w:hAnsi="Tahoma" w:cs="Tahoma"/>
          <w:b w:val="0"/>
          <w:lang w:val="es-ES"/>
        </w:rPr>
      </w:pPr>
    </w:p>
    <w:p w:rsidR="00E13E6B" w:rsidRPr="00076C20" w:rsidRDefault="00E13E6B" w:rsidP="00E13E6B">
      <w:pPr>
        <w:ind w:firstLine="708"/>
        <w:jc w:val="both"/>
        <w:rPr>
          <w:rFonts w:ascii="Tahoma" w:hAnsi="Tahoma" w:cs="Tahoma"/>
          <w:sz w:val="20"/>
          <w:szCs w:val="20"/>
        </w:rPr>
      </w:pPr>
      <w:r w:rsidRPr="00076C20">
        <w:rPr>
          <w:rFonts w:ascii="Tahoma" w:hAnsi="Tahoma" w:cs="Tahoma"/>
          <w:b/>
          <w:sz w:val="20"/>
          <w:szCs w:val="20"/>
        </w:rPr>
        <w:t>VISTO,</w:t>
      </w:r>
      <w:r w:rsidRPr="00076C20">
        <w:rPr>
          <w:rFonts w:ascii="Tahoma" w:hAnsi="Tahoma" w:cs="Tahoma"/>
          <w:sz w:val="20"/>
          <w:szCs w:val="20"/>
        </w:rPr>
        <w:t xml:space="preserve"> en sesión de fecha </w:t>
      </w:r>
      <w:r w:rsidR="00076C20">
        <w:rPr>
          <w:rFonts w:ascii="Tahoma" w:hAnsi="Tahoma" w:cs="Tahoma"/>
          <w:sz w:val="20"/>
          <w:szCs w:val="20"/>
        </w:rPr>
        <w:t>26</w:t>
      </w:r>
      <w:r w:rsidR="00DD1154" w:rsidRPr="00076C20">
        <w:rPr>
          <w:rFonts w:ascii="Tahoma" w:hAnsi="Tahoma" w:cs="Tahoma"/>
          <w:sz w:val="20"/>
          <w:szCs w:val="20"/>
        </w:rPr>
        <w:t xml:space="preserve"> de mayo</w:t>
      </w:r>
      <w:r w:rsidR="00D43251" w:rsidRPr="00076C20">
        <w:rPr>
          <w:rFonts w:ascii="Tahoma" w:hAnsi="Tahoma" w:cs="Tahoma"/>
          <w:sz w:val="20"/>
          <w:szCs w:val="20"/>
        </w:rPr>
        <w:t xml:space="preserve"> </w:t>
      </w:r>
      <w:r w:rsidR="00531D1E" w:rsidRPr="00076C20">
        <w:rPr>
          <w:rFonts w:ascii="Tahoma" w:hAnsi="Tahoma" w:cs="Tahoma"/>
          <w:sz w:val="20"/>
          <w:szCs w:val="20"/>
        </w:rPr>
        <w:t>de 2011</w:t>
      </w:r>
      <w:r w:rsidRPr="00076C20">
        <w:rPr>
          <w:rFonts w:ascii="Tahoma" w:hAnsi="Tahoma" w:cs="Tahoma"/>
          <w:sz w:val="20"/>
          <w:szCs w:val="20"/>
        </w:rPr>
        <w:t xml:space="preserve"> de la </w:t>
      </w:r>
      <w:r w:rsidR="001776B6" w:rsidRPr="00076C20">
        <w:rPr>
          <w:rFonts w:ascii="Tahoma" w:hAnsi="Tahoma" w:cs="Tahoma"/>
          <w:sz w:val="20"/>
          <w:szCs w:val="20"/>
        </w:rPr>
        <w:t>Primera</w:t>
      </w:r>
      <w:r w:rsidRPr="00076C20">
        <w:rPr>
          <w:rFonts w:ascii="Tahoma" w:hAnsi="Tahoma" w:cs="Tahoma"/>
          <w:sz w:val="20"/>
          <w:szCs w:val="20"/>
        </w:rPr>
        <w:t xml:space="preserve"> Sala del Tribunal de Contrataciones del Estado el Expediente № </w:t>
      </w:r>
      <w:r w:rsidR="00076C20">
        <w:rPr>
          <w:rFonts w:ascii="Tahoma" w:hAnsi="Tahoma" w:cs="Tahoma"/>
          <w:sz w:val="20"/>
          <w:szCs w:val="20"/>
        </w:rPr>
        <w:t>118</w:t>
      </w:r>
      <w:r w:rsidR="00531D1E" w:rsidRPr="00076C20">
        <w:rPr>
          <w:rFonts w:ascii="Tahoma" w:hAnsi="Tahoma" w:cs="Tahoma"/>
          <w:sz w:val="20"/>
          <w:szCs w:val="20"/>
        </w:rPr>
        <w:t>/20</w:t>
      </w:r>
      <w:r w:rsidR="00222218" w:rsidRPr="00076C20">
        <w:rPr>
          <w:rFonts w:ascii="Tahoma" w:hAnsi="Tahoma" w:cs="Tahoma"/>
          <w:sz w:val="20"/>
          <w:szCs w:val="20"/>
        </w:rPr>
        <w:t>1</w:t>
      </w:r>
      <w:r w:rsidR="005E6E6D" w:rsidRPr="00076C20">
        <w:rPr>
          <w:rFonts w:ascii="Tahoma" w:hAnsi="Tahoma" w:cs="Tahoma"/>
          <w:sz w:val="20"/>
          <w:szCs w:val="20"/>
        </w:rPr>
        <w:t>1</w:t>
      </w:r>
      <w:r w:rsidRPr="00076C20">
        <w:rPr>
          <w:rFonts w:ascii="Tahoma" w:hAnsi="Tahoma" w:cs="Tahoma"/>
          <w:sz w:val="20"/>
          <w:szCs w:val="20"/>
        </w:rPr>
        <w:t>.TC, sobre procedimiento administrativo sancionador contra</w:t>
      </w:r>
      <w:r w:rsidR="00140241" w:rsidRPr="00076C20">
        <w:rPr>
          <w:rFonts w:ascii="Tahoma" w:hAnsi="Tahoma" w:cs="Tahoma"/>
          <w:sz w:val="20"/>
          <w:szCs w:val="20"/>
        </w:rPr>
        <w:t xml:space="preserve"> </w:t>
      </w:r>
      <w:r w:rsidR="005E6E6D" w:rsidRPr="00076C20">
        <w:rPr>
          <w:rFonts w:ascii="Tahoma" w:hAnsi="Tahoma" w:cs="Tahoma"/>
          <w:sz w:val="20"/>
          <w:szCs w:val="20"/>
        </w:rPr>
        <w:t xml:space="preserve">el señor </w:t>
      </w:r>
      <w:r w:rsidR="00076C20" w:rsidRPr="00076C20">
        <w:rPr>
          <w:rFonts w:ascii="Tahoma" w:hAnsi="Tahoma" w:cs="Tahoma"/>
          <w:sz w:val="20"/>
          <w:szCs w:val="20"/>
        </w:rPr>
        <w:t xml:space="preserve">CESAR ROLANDO SILVA POLO </w:t>
      </w:r>
      <w:r w:rsidRPr="00076C20">
        <w:rPr>
          <w:rFonts w:ascii="Tahoma" w:hAnsi="Tahoma" w:cs="Tahoma"/>
          <w:sz w:val="20"/>
          <w:szCs w:val="20"/>
        </w:rPr>
        <w:t xml:space="preserve">por supuesta responsabilidad en la resolución </w:t>
      </w:r>
      <w:r w:rsidR="00076C20">
        <w:rPr>
          <w:rFonts w:ascii="Tahoma" w:hAnsi="Tahoma" w:cs="Tahoma"/>
          <w:sz w:val="20"/>
          <w:szCs w:val="20"/>
        </w:rPr>
        <w:t xml:space="preserve">de la </w:t>
      </w:r>
      <w:r w:rsidR="00076C20" w:rsidRPr="00076C20">
        <w:rPr>
          <w:rFonts w:ascii="Tahoma" w:hAnsi="Tahoma" w:cs="Tahoma"/>
          <w:sz w:val="20"/>
          <w:szCs w:val="20"/>
        </w:rPr>
        <w:t>Orden de Compra № 365</w:t>
      </w:r>
      <w:r w:rsidR="00214D5E" w:rsidRPr="00076C20">
        <w:rPr>
          <w:rFonts w:ascii="Tahoma" w:hAnsi="Tahoma" w:cs="Tahoma"/>
          <w:sz w:val="20"/>
          <w:szCs w:val="20"/>
        </w:rPr>
        <w:t xml:space="preserve"> </w:t>
      </w:r>
      <w:r w:rsidR="00822C2F" w:rsidRPr="00076C20">
        <w:rPr>
          <w:rFonts w:ascii="Tahoma" w:hAnsi="Tahoma" w:cs="Tahoma"/>
          <w:sz w:val="20"/>
          <w:szCs w:val="20"/>
        </w:rPr>
        <w:t xml:space="preserve">por causa atribuible a </w:t>
      </w:r>
      <w:r w:rsidR="00214D5E" w:rsidRPr="00076C20">
        <w:rPr>
          <w:rFonts w:ascii="Tahoma" w:hAnsi="Tahoma" w:cs="Tahoma"/>
          <w:sz w:val="20"/>
          <w:szCs w:val="20"/>
        </w:rPr>
        <w:t>él</w:t>
      </w:r>
      <w:r w:rsidR="00466DC8" w:rsidRPr="00076C20">
        <w:rPr>
          <w:rFonts w:ascii="Tahoma" w:hAnsi="Tahoma" w:cs="Tahoma"/>
          <w:sz w:val="20"/>
          <w:szCs w:val="20"/>
        </w:rPr>
        <w:t>, derivada</w:t>
      </w:r>
      <w:r w:rsidR="000B0A8A" w:rsidRPr="00076C20">
        <w:rPr>
          <w:rFonts w:ascii="Tahoma" w:hAnsi="Tahoma" w:cs="Tahoma"/>
          <w:sz w:val="20"/>
          <w:szCs w:val="20"/>
        </w:rPr>
        <w:t xml:space="preserve"> de la</w:t>
      </w:r>
      <w:r w:rsidRPr="00076C20">
        <w:rPr>
          <w:rFonts w:ascii="Tahoma" w:hAnsi="Tahoma" w:cs="Tahoma"/>
          <w:sz w:val="20"/>
          <w:szCs w:val="20"/>
        </w:rPr>
        <w:t xml:space="preserve"> </w:t>
      </w:r>
      <w:r w:rsidR="00076C20" w:rsidRPr="00076C20">
        <w:rPr>
          <w:rFonts w:ascii="Tahoma" w:hAnsi="Tahoma" w:cs="Tahoma"/>
          <w:sz w:val="20"/>
          <w:szCs w:val="20"/>
        </w:rPr>
        <w:t>Adjudicación de Menor cuantía № 020-2010-PCM</w:t>
      </w:r>
      <w:r w:rsidR="00D43251" w:rsidRPr="00076C20">
        <w:rPr>
          <w:rFonts w:ascii="Tahoma" w:hAnsi="Tahoma" w:cs="Tahoma"/>
          <w:sz w:val="20"/>
          <w:szCs w:val="20"/>
        </w:rPr>
        <w:t xml:space="preserve">, </w:t>
      </w:r>
      <w:r w:rsidR="008422E3" w:rsidRPr="00076C20">
        <w:rPr>
          <w:rFonts w:ascii="Tahoma" w:hAnsi="Tahoma" w:cs="Tahoma"/>
          <w:sz w:val="20"/>
          <w:szCs w:val="20"/>
        </w:rPr>
        <w:t>primera</w:t>
      </w:r>
      <w:r w:rsidR="00D43251" w:rsidRPr="00076C20">
        <w:rPr>
          <w:rFonts w:ascii="Tahoma" w:hAnsi="Tahoma" w:cs="Tahoma"/>
          <w:sz w:val="20"/>
          <w:szCs w:val="20"/>
        </w:rPr>
        <w:t xml:space="preserve"> convocatoria</w:t>
      </w:r>
      <w:r w:rsidRPr="00076C20">
        <w:rPr>
          <w:rFonts w:ascii="Tahoma" w:hAnsi="Tahoma" w:cs="Tahoma"/>
          <w:sz w:val="20"/>
          <w:szCs w:val="20"/>
        </w:rPr>
        <w:t xml:space="preserve">, </w:t>
      </w:r>
      <w:r w:rsidR="00D43251" w:rsidRPr="00076C20">
        <w:rPr>
          <w:rFonts w:ascii="Tahoma" w:hAnsi="Tahoma" w:cs="Tahoma"/>
          <w:sz w:val="20"/>
          <w:szCs w:val="20"/>
        </w:rPr>
        <w:t xml:space="preserve">realizada por </w:t>
      </w:r>
      <w:r w:rsidR="00A36836" w:rsidRPr="00076C20">
        <w:rPr>
          <w:rFonts w:ascii="Tahoma" w:hAnsi="Tahoma" w:cs="Tahoma"/>
          <w:sz w:val="20"/>
          <w:szCs w:val="20"/>
        </w:rPr>
        <w:t xml:space="preserve">la </w:t>
      </w:r>
      <w:r w:rsidR="00076C20" w:rsidRPr="00076C20">
        <w:rPr>
          <w:rFonts w:ascii="Tahoma" w:hAnsi="Tahoma" w:cs="Tahoma"/>
          <w:sz w:val="20"/>
          <w:szCs w:val="20"/>
        </w:rPr>
        <w:t>Presidencia del Consejo de Ministros</w:t>
      </w:r>
      <w:r w:rsidRPr="00076C20">
        <w:rPr>
          <w:rFonts w:ascii="Tahoma" w:hAnsi="Tahoma" w:cs="Tahoma"/>
          <w:sz w:val="20"/>
          <w:szCs w:val="20"/>
        </w:rPr>
        <w:t>, para</w:t>
      </w:r>
      <w:r w:rsidR="00903A92" w:rsidRPr="00076C20">
        <w:rPr>
          <w:rFonts w:ascii="Tahoma" w:hAnsi="Tahoma" w:cs="Tahoma"/>
          <w:sz w:val="20"/>
          <w:szCs w:val="20"/>
        </w:rPr>
        <w:t xml:space="preserve"> </w:t>
      </w:r>
      <w:r w:rsidR="00076C20">
        <w:rPr>
          <w:rFonts w:ascii="Tahoma" w:hAnsi="Tahoma" w:cs="Tahoma"/>
          <w:sz w:val="20"/>
          <w:szCs w:val="20"/>
        </w:rPr>
        <w:t xml:space="preserve">la </w:t>
      </w:r>
      <w:r w:rsidR="00076C20" w:rsidRPr="00076C20">
        <w:rPr>
          <w:rFonts w:ascii="Tahoma" w:hAnsi="Tahoma" w:cs="Tahoma"/>
          <w:sz w:val="20"/>
          <w:szCs w:val="20"/>
        </w:rPr>
        <w:t>“Adquisición de computadoras tipo III para el Proyecto de Inversión Pública Fortalecimiento del Parque Informático de la Entidad”</w:t>
      </w:r>
      <w:r w:rsidRPr="00076C20">
        <w:rPr>
          <w:rFonts w:ascii="Tahoma" w:hAnsi="Tahoma" w:cs="Tahoma"/>
          <w:sz w:val="20"/>
          <w:szCs w:val="20"/>
        </w:rPr>
        <w:t xml:space="preserve">, y; atendiendo a los siguientes:  </w:t>
      </w:r>
    </w:p>
    <w:p w:rsidR="00E13E6B" w:rsidRPr="00076C20" w:rsidRDefault="00E13E6B" w:rsidP="00E13E6B">
      <w:pPr>
        <w:ind w:right="45"/>
        <w:jc w:val="both"/>
        <w:rPr>
          <w:rFonts w:ascii="Tahoma" w:hAnsi="Tahoma" w:cs="Tahoma"/>
          <w:b/>
          <w:sz w:val="20"/>
          <w:szCs w:val="20"/>
        </w:rPr>
      </w:pPr>
    </w:p>
    <w:p w:rsidR="00E13E6B" w:rsidRPr="00076C20" w:rsidRDefault="00E13E6B" w:rsidP="00E13E6B">
      <w:pPr>
        <w:ind w:firstLine="567"/>
        <w:jc w:val="both"/>
        <w:rPr>
          <w:rFonts w:ascii="Tahoma" w:hAnsi="Tahoma" w:cs="Tahoma"/>
          <w:b/>
          <w:sz w:val="20"/>
          <w:szCs w:val="20"/>
        </w:rPr>
      </w:pPr>
      <w:r w:rsidRPr="00076C20">
        <w:rPr>
          <w:rFonts w:ascii="Tahoma" w:hAnsi="Tahoma" w:cs="Tahoma"/>
          <w:b/>
          <w:sz w:val="20"/>
          <w:szCs w:val="20"/>
        </w:rPr>
        <w:t>ANTECEDENTES:</w:t>
      </w:r>
    </w:p>
    <w:p w:rsidR="00E13E6B" w:rsidRPr="00076C20" w:rsidRDefault="00E13E6B" w:rsidP="00E13E6B">
      <w:pPr>
        <w:ind w:left="426"/>
        <w:jc w:val="both"/>
        <w:rPr>
          <w:rFonts w:ascii="Tahoma" w:hAnsi="Tahoma" w:cs="Tahoma"/>
          <w:b/>
          <w:bCs/>
          <w:shadow/>
          <w:sz w:val="20"/>
          <w:szCs w:val="20"/>
        </w:rPr>
      </w:pPr>
    </w:p>
    <w:p w:rsidR="00076C20" w:rsidRPr="00076C20" w:rsidRDefault="00076C20" w:rsidP="00076C20">
      <w:pPr>
        <w:numPr>
          <w:ilvl w:val="0"/>
          <w:numId w:val="19"/>
        </w:numPr>
        <w:ind w:left="567" w:hanging="567"/>
        <w:jc w:val="both"/>
        <w:rPr>
          <w:rFonts w:ascii="Tahoma" w:hAnsi="Tahoma" w:cs="Tahoma"/>
          <w:sz w:val="20"/>
          <w:szCs w:val="20"/>
        </w:rPr>
      </w:pPr>
      <w:r w:rsidRPr="00076C20">
        <w:rPr>
          <w:rFonts w:ascii="Tahoma" w:hAnsi="Tahoma" w:cs="Tahoma"/>
          <w:sz w:val="20"/>
          <w:szCs w:val="20"/>
        </w:rPr>
        <w:t>El 03 de agosto de 2010, la Presidencia del Consejo de Ministros, en adelante la Entidad, convocó la Adjudicación de Menor cuantía № 020-2010-PCM, primera convocatoria, para la “Adquisición de computadoras tipo III para el Proyecto de Inversión Pública Fortalecimiento del Parque Informático de la Entidad”, por un valor referencial de S/. 20 115,00 (Veinte mil ciento quince con 00/100 nuevos soles), incluido los impuesto de ley.</w:t>
      </w:r>
    </w:p>
    <w:p w:rsidR="00076C20" w:rsidRPr="00076C20" w:rsidRDefault="00076C20" w:rsidP="00076C20">
      <w:pPr>
        <w:ind w:left="567"/>
        <w:rPr>
          <w:rFonts w:ascii="Tahoma" w:hAnsi="Tahoma" w:cs="Tahoma"/>
          <w:sz w:val="20"/>
          <w:szCs w:val="20"/>
        </w:rPr>
      </w:pPr>
    </w:p>
    <w:p w:rsidR="00076C20" w:rsidRPr="00076C20" w:rsidRDefault="00076C20" w:rsidP="00076C20">
      <w:pPr>
        <w:numPr>
          <w:ilvl w:val="0"/>
          <w:numId w:val="19"/>
        </w:numPr>
        <w:ind w:left="567" w:hanging="567"/>
        <w:jc w:val="both"/>
        <w:rPr>
          <w:rFonts w:ascii="Tahoma" w:hAnsi="Tahoma" w:cs="Tahoma"/>
          <w:sz w:val="20"/>
          <w:szCs w:val="20"/>
        </w:rPr>
      </w:pPr>
      <w:r w:rsidRPr="00076C20">
        <w:rPr>
          <w:rFonts w:ascii="Tahoma" w:hAnsi="Tahoma" w:cs="Tahoma"/>
          <w:sz w:val="20"/>
          <w:szCs w:val="20"/>
        </w:rPr>
        <w:t>Como resultado del proceso de selección, el 17 de Agosto de 2010, se otorgó la Buena Pro al señor CESAR ROLANDO SILVA POLO, por su oferta económica ascendente a S/. 18 103.50 nuevos soles.</w:t>
      </w:r>
    </w:p>
    <w:p w:rsidR="00076C20" w:rsidRPr="00076C20" w:rsidRDefault="00076C20" w:rsidP="00076C20">
      <w:pPr>
        <w:pStyle w:val="Prrafodelista"/>
        <w:rPr>
          <w:rFonts w:ascii="Tahoma" w:hAnsi="Tahoma" w:cs="Tahoma"/>
        </w:rPr>
      </w:pPr>
    </w:p>
    <w:p w:rsidR="00076C20" w:rsidRPr="00076C20" w:rsidRDefault="00076C20" w:rsidP="00076C20">
      <w:pPr>
        <w:numPr>
          <w:ilvl w:val="0"/>
          <w:numId w:val="19"/>
        </w:numPr>
        <w:ind w:left="567" w:hanging="567"/>
        <w:jc w:val="both"/>
        <w:rPr>
          <w:rFonts w:ascii="Tahoma" w:hAnsi="Tahoma" w:cs="Tahoma"/>
          <w:sz w:val="20"/>
          <w:szCs w:val="20"/>
        </w:rPr>
      </w:pPr>
      <w:r w:rsidRPr="00076C20">
        <w:rPr>
          <w:rFonts w:ascii="Tahoma" w:hAnsi="Tahoma" w:cs="Tahoma"/>
          <w:sz w:val="20"/>
          <w:szCs w:val="20"/>
        </w:rPr>
        <w:t>El 03 de septiembre de 2010, la Entidad remitió al señor CESAR ROLANDO SILVA POLO, en adelante el Contratista, la Orden de Compra № 365, para la adquisición de cinco (5) computadoras tipo III para el Proyecto de Inversión Pública Fortalecimiento del Parque Informático de la Entidad, por el monto de S/. 18 103.50, y cuyo plazo de ejecución contractual sería de dos (2) días calendarios de recepcionada la mencionada orden de compra.</w:t>
      </w:r>
    </w:p>
    <w:p w:rsidR="00076C20" w:rsidRPr="00076C20" w:rsidRDefault="00076C20" w:rsidP="00076C20">
      <w:pPr>
        <w:pStyle w:val="Prrafodelista"/>
        <w:rPr>
          <w:rFonts w:ascii="Tahoma" w:hAnsi="Tahoma" w:cs="Tahoma"/>
        </w:rPr>
      </w:pPr>
    </w:p>
    <w:p w:rsidR="00076C20" w:rsidRPr="00076C20" w:rsidRDefault="00076C20" w:rsidP="00076C20">
      <w:pPr>
        <w:numPr>
          <w:ilvl w:val="0"/>
          <w:numId w:val="19"/>
        </w:numPr>
        <w:ind w:left="567" w:hanging="567"/>
        <w:jc w:val="both"/>
        <w:rPr>
          <w:rFonts w:ascii="Tahoma" w:hAnsi="Tahoma" w:cs="Tahoma"/>
          <w:sz w:val="20"/>
          <w:szCs w:val="20"/>
        </w:rPr>
      </w:pPr>
      <w:r w:rsidRPr="00076C20">
        <w:rPr>
          <w:rFonts w:ascii="Tahoma" w:hAnsi="Tahoma" w:cs="Tahoma"/>
          <w:sz w:val="20"/>
          <w:szCs w:val="20"/>
        </w:rPr>
        <w:t xml:space="preserve">Con Oficio № 03-2010-DG-CESP de fecha 04 de septiembre de 2010, el Contratista le comunicó a la Entidad que las cinco (5) computadoras que se internaran a sus instalaciones contenían partes (CPU, teclado, monitor) de diferentes marcas de empresas (Foxconn, Genius y Hyundai), siendo éstas consorciadas, por lo que le solicitó a la Entidad admitir dichos bienes, los cuales estaban en óptimas condiciones. </w:t>
      </w:r>
    </w:p>
    <w:p w:rsidR="00076C20" w:rsidRPr="00076C20" w:rsidRDefault="00076C20" w:rsidP="00076C20">
      <w:pPr>
        <w:pStyle w:val="Prrafodelista"/>
        <w:rPr>
          <w:rFonts w:ascii="Tahoma" w:hAnsi="Tahoma" w:cs="Tahoma"/>
        </w:rPr>
      </w:pPr>
    </w:p>
    <w:p w:rsidR="00076C20" w:rsidRPr="00076C20" w:rsidRDefault="00076C20" w:rsidP="00076C20">
      <w:pPr>
        <w:numPr>
          <w:ilvl w:val="0"/>
          <w:numId w:val="19"/>
        </w:numPr>
        <w:ind w:left="567" w:hanging="567"/>
        <w:jc w:val="both"/>
        <w:rPr>
          <w:rFonts w:ascii="Tahoma" w:hAnsi="Tahoma" w:cs="Tahoma"/>
          <w:sz w:val="20"/>
          <w:szCs w:val="20"/>
        </w:rPr>
      </w:pPr>
      <w:r w:rsidRPr="00076C20">
        <w:rPr>
          <w:rFonts w:ascii="Tahoma" w:hAnsi="Tahoma" w:cs="Tahoma"/>
          <w:sz w:val="20"/>
          <w:szCs w:val="20"/>
        </w:rPr>
        <w:t xml:space="preserve">Con fecha 06 de septiembre de 2010, a través de la Guía de Remisión № 0033, el Contratista internó las cinco (5) computadoras, cuyas características, entre otras, eran las siguientes: </w:t>
      </w:r>
      <w:r w:rsidRPr="00076C20">
        <w:rPr>
          <w:rFonts w:ascii="Tahoma" w:hAnsi="Tahoma" w:cs="Tahoma"/>
          <w:b/>
          <w:sz w:val="20"/>
          <w:szCs w:val="20"/>
        </w:rPr>
        <w:t>(i)</w:t>
      </w:r>
      <w:r w:rsidRPr="00076C20">
        <w:rPr>
          <w:rFonts w:ascii="Tahoma" w:hAnsi="Tahoma" w:cs="Tahoma"/>
          <w:sz w:val="20"/>
          <w:szCs w:val="20"/>
        </w:rPr>
        <w:t xml:space="preserve"> CPU marca Foxconn; </w:t>
      </w:r>
      <w:r w:rsidRPr="00076C20">
        <w:rPr>
          <w:rFonts w:ascii="Tahoma" w:hAnsi="Tahoma" w:cs="Tahoma"/>
          <w:b/>
          <w:sz w:val="20"/>
          <w:szCs w:val="20"/>
        </w:rPr>
        <w:t xml:space="preserve">(ii) </w:t>
      </w:r>
      <w:r w:rsidRPr="00076C20">
        <w:rPr>
          <w:rFonts w:ascii="Tahoma" w:hAnsi="Tahoma" w:cs="Tahoma"/>
          <w:sz w:val="20"/>
          <w:szCs w:val="20"/>
        </w:rPr>
        <w:t xml:space="preserve">Monitor marca Hyundai; y (iii) teclado y mouse marca Genius. </w:t>
      </w:r>
    </w:p>
    <w:p w:rsidR="00076C20" w:rsidRPr="00076C20" w:rsidRDefault="00076C20" w:rsidP="00076C20">
      <w:pPr>
        <w:pStyle w:val="Prrafodelista"/>
        <w:rPr>
          <w:rFonts w:ascii="Tahoma" w:hAnsi="Tahoma" w:cs="Tahoma"/>
        </w:rPr>
      </w:pPr>
    </w:p>
    <w:p w:rsidR="00076C20" w:rsidRPr="00076C20" w:rsidRDefault="00076C20" w:rsidP="00076C20">
      <w:pPr>
        <w:numPr>
          <w:ilvl w:val="0"/>
          <w:numId w:val="19"/>
        </w:numPr>
        <w:ind w:left="567" w:hanging="567"/>
        <w:jc w:val="both"/>
        <w:rPr>
          <w:rFonts w:ascii="Tahoma" w:hAnsi="Tahoma" w:cs="Tahoma"/>
          <w:sz w:val="20"/>
          <w:szCs w:val="20"/>
        </w:rPr>
      </w:pPr>
      <w:r w:rsidRPr="00076C20">
        <w:rPr>
          <w:rFonts w:ascii="Tahoma" w:hAnsi="Tahoma" w:cs="Tahoma"/>
          <w:sz w:val="20"/>
          <w:szCs w:val="20"/>
        </w:rPr>
        <w:lastRenderedPageBreak/>
        <w:t>En ese sentido, mediante Oficio № 297-2010-PCM/OAA notificado el 22 de septiembre de 2010, la Entidad comunicó al Contratista que, habiéndose recibido el Memorando № 647-2010-PCM/OS, emitido por la Oficina de Sistemas (área usuaria), en el cual se había advertido las observaciones realizadas a los bienes internados, se le otorgaba el plazo de cinco (05) días calendarios para que subsane las observaciones efectuadas.</w:t>
      </w:r>
    </w:p>
    <w:p w:rsidR="00076C20" w:rsidRPr="00076C20" w:rsidRDefault="00076C20" w:rsidP="00076C20">
      <w:pPr>
        <w:pStyle w:val="Prrafodelista"/>
        <w:rPr>
          <w:rFonts w:ascii="Tahoma" w:hAnsi="Tahoma" w:cs="Tahoma"/>
        </w:rPr>
      </w:pPr>
    </w:p>
    <w:p w:rsidR="00076C20" w:rsidRPr="00076C20" w:rsidRDefault="00076C20" w:rsidP="00076C20">
      <w:pPr>
        <w:ind w:left="567"/>
        <w:jc w:val="both"/>
        <w:rPr>
          <w:rFonts w:ascii="Tahoma" w:hAnsi="Tahoma" w:cs="Tahoma"/>
          <w:sz w:val="20"/>
          <w:szCs w:val="20"/>
        </w:rPr>
      </w:pPr>
      <w:r w:rsidRPr="00076C20">
        <w:rPr>
          <w:rFonts w:ascii="Tahoma" w:hAnsi="Tahoma" w:cs="Tahoma"/>
          <w:sz w:val="20"/>
          <w:szCs w:val="20"/>
        </w:rPr>
        <w:t>En efecto, del mencionado oficio se desprende que la Entidad señaló que los bienes internados por el Contratista no cumplían con las especificaciones técnicas establecidas en las Bases, toda vez que los componentes de los equipos no eran de la misma marca, apreciándose además, que faltaba la entrega de los Certificados de Licencia Microsoft, así como el CD de recuperación de S.O.</w:t>
      </w:r>
    </w:p>
    <w:p w:rsidR="00076C20" w:rsidRPr="00076C20" w:rsidRDefault="00076C20" w:rsidP="00076C20">
      <w:pPr>
        <w:pStyle w:val="Prrafodelista"/>
        <w:rPr>
          <w:rFonts w:ascii="Tahoma" w:hAnsi="Tahoma" w:cs="Tahoma"/>
        </w:rPr>
      </w:pPr>
    </w:p>
    <w:p w:rsidR="00076C20" w:rsidRPr="00076C20" w:rsidRDefault="00076C20" w:rsidP="00076C20">
      <w:pPr>
        <w:numPr>
          <w:ilvl w:val="0"/>
          <w:numId w:val="19"/>
        </w:numPr>
        <w:ind w:left="567" w:hanging="567"/>
        <w:jc w:val="both"/>
        <w:rPr>
          <w:rFonts w:ascii="Tahoma" w:hAnsi="Tahoma" w:cs="Tahoma"/>
          <w:sz w:val="20"/>
          <w:szCs w:val="20"/>
        </w:rPr>
      </w:pPr>
      <w:r w:rsidRPr="00076C20">
        <w:rPr>
          <w:rFonts w:ascii="Tahoma" w:hAnsi="Tahoma" w:cs="Tahoma"/>
          <w:sz w:val="20"/>
          <w:szCs w:val="20"/>
        </w:rPr>
        <w:t>Con Carta № 004-2010.DG-CRSP recepcionada el 23 de septiembre de 2010, el Contratista manifestó a la Entidad que al no haber dado respuesta a su  Oficio № 03-2010-DG-CESP de fecha 04 de septiembre de 2010, su representada había tenido por aceptada la solicitud de internar las cinco (5) computadoras que contenían partes (CPU, teclado, monitor) de diferentes marcas de empresas (Foxconn, Genius y Hyundai); en esa medida, y en concordancia con el artículo 176 del Reglamento de la Ley de Contrataciones del Estado, las observaciones efectuadas estaban subsanadas.</w:t>
      </w:r>
    </w:p>
    <w:p w:rsidR="00076C20" w:rsidRPr="00076C20" w:rsidRDefault="00076C20" w:rsidP="00076C20">
      <w:pPr>
        <w:ind w:left="567"/>
        <w:rPr>
          <w:rFonts w:ascii="Tahoma" w:hAnsi="Tahoma" w:cs="Tahoma"/>
          <w:sz w:val="20"/>
          <w:szCs w:val="20"/>
        </w:rPr>
      </w:pPr>
    </w:p>
    <w:p w:rsidR="00076C20" w:rsidRPr="00076C20" w:rsidRDefault="00076C20" w:rsidP="00076C20">
      <w:pPr>
        <w:numPr>
          <w:ilvl w:val="0"/>
          <w:numId w:val="19"/>
        </w:numPr>
        <w:ind w:left="567" w:hanging="567"/>
        <w:jc w:val="both"/>
        <w:rPr>
          <w:rFonts w:ascii="Tahoma" w:hAnsi="Tahoma" w:cs="Tahoma"/>
          <w:sz w:val="20"/>
          <w:szCs w:val="20"/>
        </w:rPr>
      </w:pPr>
      <w:r w:rsidRPr="00076C20">
        <w:rPr>
          <w:rFonts w:ascii="Tahoma" w:hAnsi="Tahoma" w:cs="Tahoma"/>
          <w:sz w:val="20"/>
          <w:szCs w:val="20"/>
        </w:rPr>
        <w:t>Mediante Carta Notarial № 080-2010-PCM/OAA de fecha 24 de septiembre de 2010, diligenciada el mismo día, mes y año, la Entidad requirió al Contratista a fin que dentro del plazo de tres (03) días calendario cumpliera con subsanar las observaciones realizadas a los bienes internados el 06 de septiembre de 2010, conforme a las especificaciones técnicas de las Bases materializadas en la Orden de Compra № 365, bajo apercibimiento de proceder a la resolución contractual.</w:t>
      </w:r>
    </w:p>
    <w:p w:rsidR="00076C20" w:rsidRPr="00076C20" w:rsidRDefault="00076C20" w:rsidP="00076C20">
      <w:pPr>
        <w:pStyle w:val="Prrafodelista"/>
        <w:tabs>
          <w:tab w:val="left" w:pos="4820"/>
        </w:tabs>
        <w:jc w:val="both"/>
        <w:rPr>
          <w:rFonts w:ascii="Tahoma" w:hAnsi="Tahoma" w:cs="Tahoma"/>
        </w:rPr>
      </w:pPr>
    </w:p>
    <w:p w:rsidR="00076C20" w:rsidRPr="00076C20" w:rsidRDefault="00076C20" w:rsidP="00076C20">
      <w:pPr>
        <w:ind w:left="567"/>
        <w:jc w:val="both"/>
        <w:rPr>
          <w:rFonts w:ascii="Tahoma" w:hAnsi="Tahoma" w:cs="Tahoma"/>
          <w:sz w:val="20"/>
          <w:szCs w:val="20"/>
        </w:rPr>
      </w:pPr>
      <w:r w:rsidRPr="00076C20">
        <w:rPr>
          <w:rFonts w:ascii="Tahoma" w:hAnsi="Tahoma" w:cs="Tahoma"/>
          <w:sz w:val="20"/>
          <w:szCs w:val="20"/>
        </w:rPr>
        <w:t>Adicionalmente a ello, la Entidad informó al Contratista que su solicitud de internar los equipos con partes de diferentes marca (a través del Oficio № 03-2010-DG-CESP) fue contestado mediante el Oficio № 297-2010-PCM/OAA, teniendo en cuenta lo establecido por el área usuaria de la Entidad.</w:t>
      </w:r>
    </w:p>
    <w:p w:rsidR="00076C20" w:rsidRPr="00076C20" w:rsidRDefault="00076C20" w:rsidP="00076C20">
      <w:pPr>
        <w:pStyle w:val="Prrafodelista"/>
        <w:jc w:val="both"/>
        <w:rPr>
          <w:rFonts w:ascii="Tahoma" w:hAnsi="Tahoma" w:cs="Tahoma"/>
        </w:rPr>
      </w:pPr>
    </w:p>
    <w:p w:rsidR="00076C20" w:rsidRPr="00076C20" w:rsidRDefault="00076C20" w:rsidP="00076C20">
      <w:pPr>
        <w:numPr>
          <w:ilvl w:val="0"/>
          <w:numId w:val="19"/>
        </w:numPr>
        <w:ind w:left="567" w:hanging="567"/>
        <w:jc w:val="both"/>
        <w:rPr>
          <w:rFonts w:ascii="Tahoma" w:hAnsi="Tahoma" w:cs="Tahoma"/>
          <w:sz w:val="20"/>
          <w:szCs w:val="20"/>
        </w:rPr>
      </w:pPr>
      <w:r w:rsidRPr="00076C20">
        <w:rPr>
          <w:rFonts w:ascii="Tahoma" w:hAnsi="Tahoma" w:cs="Tahoma"/>
          <w:sz w:val="20"/>
          <w:szCs w:val="20"/>
        </w:rPr>
        <w:t>A través de la Carta № 097-2010-PCM/OAA de fecha 26 de octubre de 2010, diligenciada el 27 del mismo mes y año, la Entidad comunicó al Contratista que, al no haber cumplido con sus obligaciones contractuales, procedía a resolver la Orden de Compra № 365; por causal atribuible a su parte.</w:t>
      </w:r>
    </w:p>
    <w:p w:rsidR="00076C20" w:rsidRPr="00076C20" w:rsidRDefault="00076C20" w:rsidP="00076C20">
      <w:pPr>
        <w:pStyle w:val="Prrafodelista"/>
        <w:rPr>
          <w:rFonts w:ascii="Tahoma" w:hAnsi="Tahoma" w:cs="Tahoma"/>
        </w:rPr>
      </w:pPr>
    </w:p>
    <w:p w:rsidR="00076C20" w:rsidRPr="00076C20" w:rsidRDefault="00076C20" w:rsidP="00076C20">
      <w:pPr>
        <w:numPr>
          <w:ilvl w:val="0"/>
          <w:numId w:val="19"/>
        </w:numPr>
        <w:ind w:left="567" w:hanging="567"/>
        <w:jc w:val="both"/>
        <w:rPr>
          <w:rFonts w:ascii="Tahoma" w:hAnsi="Tahoma" w:cs="Tahoma"/>
          <w:sz w:val="20"/>
          <w:szCs w:val="20"/>
        </w:rPr>
      </w:pPr>
      <w:r w:rsidRPr="00076C20">
        <w:rPr>
          <w:rFonts w:ascii="Tahoma" w:hAnsi="Tahoma" w:cs="Tahoma"/>
          <w:sz w:val="20"/>
          <w:szCs w:val="20"/>
        </w:rPr>
        <w:t>Con Formulario de Aplicación de Sanción y Oficio № 058-2011-PCM/OAA presentados el 31 de enero y 04 de febrero de 2011, la Entidad puso en conocimiento del Tribunal de Contrataciones del Estado, en adelante el Tribunal, la supuesta responsabilidad del Contratista en la resolución de la Orden de Compra № 365, por causal atribuible a su parte, derivado del acotado proceso de selección, pese a haber sido requerida de acuerdo con la legislación vigente. Asimismo, la Entidad indicó que a la fecha no existe proceso arbitral u otro mecanismo que se haya iniciado.</w:t>
      </w:r>
    </w:p>
    <w:p w:rsidR="00076C20" w:rsidRPr="00076C20" w:rsidRDefault="00076C20" w:rsidP="00076C20">
      <w:pPr>
        <w:pStyle w:val="Prrafodelista"/>
        <w:rPr>
          <w:rFonts w:ascii="Tahoma" w:hAnsi="Tahoma" w:cs="Tahoma"/>
        </w:rPr>
      </w:pPr>
    </w:p>
    <w:p w:rsidR="00076C20" w:rsidRPr="00076C20" w:rsidRDefault="00076C20" w:rsidP="00076C20">
      <w:pPr>
        <w:numPr>
          <w:ilvl w:val="0"/>
          <w:numId w:val="19"/>
        </w:numPr>
        <w:ind w:left="567" w:hanging="567"/>
        <w:jc w:val="both"/>
        <w:rPr>
          <w:rFonts w:ascii="Tahoma" w:hAnsi="Tahoma" w:cs="Tahoma"/>
          <w:sz w:val="20"/>
          <w:szCs w:val="20"/>
        </w:rPr>
      </w:pPr>
      <w:r w:rsidRPr="00076C20">
        <w:rPr>
          <w:rFonts w:ascii="Tahoma" w:hAnsi="Tahoma" w:cs="Tahoma"/>
          <w:sz w:val="20"/>
          <w:szCs w:val="20"/>
        </w:rPr>
        <w:t xml:space="preserve">Con decreto de fecha 08 de febrero de 2011, notificado el 30 de marzo del mismo año, el Tribunal inició el procedimiento administrativo sancionador contra el Contratista por su </w:t>
      </w:r>
      <w:r w:rsidRPr="00076C20">
        <w:rPr>
          <w:rFonts w:ascii="Tahoma" w:hAnsi="Tahoma" w:cs="Tahoma"/>
          <w:sz w:val="20"/>
          <w:szCs w:val="20"/>
        </w:rPr>
        <w:lastRenderedPageBreak/>
        <w:t>supuesta responsabilidad en la resolución de la Orden de Compra № 365 de fecha 31 de agosto de 2010, derivada de la Adjudicación de Menor cuantía № 020-2010-PCM, primera convocatoria, por causal atribuible a su parte, infracción tipificada en el literal b) del numeral 51.1 del artículo 51 de la Ley en concordancia con el literal b) del numeral 1) del artículo 237 del Reglamento. Asimismo, se le requirió para que en el plazo de diez (10) días hábiles cumplieran con presentar su escrito de descargos.</w:t>
      </w:r>
    </w:p>
    <w:p w:rsidR="00076C20" w:rsidRPr="00076C20" w:rsidRDefault="00076C20" w:rsidP="00076C20">
      <w:pPr>
        <w:pStyle w:val="Prrafodelista"/>
        <w:rPr>
          <w:rFonts w:ascii="Tahoma" w:hAnsi="Tahoma" w:cs="Tahoma"/>
        </w:rPr>
      </w:pPr>
    </w:p>
    <w:p w:rsidR="00076C20" w:rsidRPr="00076C20" w:rsidRDefault="00076C20" w:rsidP="00076C20">
      <w:pPr>
        <w:numPr>
          <w:ilvl w:val="0"/>
          <w:numId w:val="19"/>
        </w:numPr>
        <w:ind w:left="567" w:hanging="567"/>
        <w:jc w:val="both"/>
        <w:rPr>
          <w:rFonts w:ascii="Tahoma" w:hAnsi="Tahoma" w:cs="Tahoma"/>
          <w:sz w:val="20"/>
          <w:szCs w:val="20"/>
        </w:rPr>
      </w:pPr>
      <w:r w:rsidRPr="00076C20">
        <w:rPr>
          <w:rFonts w:ascii="Tahoma" w:hAnsi="Tahoma" w:cs="Tahoma"/>
          <w:sz w:val="20"/>
          <w:szCs w:val="20"/>
        </w:rPr>
        <w:t>Mediante escrito presentado el 11 de abril de 21011, la Contratista presentó su escrito de descargos, bajo los siguientes términos:</w:t>
      </w:r>
    </w:p>
    <w:p w:rsidR="00076C20" w:rsidRPr="00076C20" w:rsidRDefault="00076C20" w:rsidP="00076C20">
      <w:pPr>
        <w:pStyle w:val="Prrafodelista"/>
        <w:rPr>
          <w:rFonts w:ascii="Tahoma" w:hAnsi="Tahoma" w:cs="Tahoma"/>
        </w:rPr>
      </w:pPr>
    </w:p>
    <w:p w:rsidR="00076C20" w:rsidRPr="00076C20" w:rsidRDefault="00076C20" w:rsidP="00076C20">
      <w:pPr>
        <w:numPr>
          <w:ilvl w:val="0"/>
          <w:numId w:val="22"/>
        </w:numPr>
        <w:ind w:left="1134" w:hanging="283"/>
        <w:jc w:val="both"/>
        <w:rPr>
          <w:rFonts w:ascii="Tahoma" w:hAnsi="Tahoma" w:cs="Tahoma"/>
          <w:sz w:val="20"/>
          <w:szCs w:val="20"/>
        </w:rPr>
      </w:pPr>
      <w:r w:rsidRPr="00076C20">
        <w:rPr>
          <w:rFonts w:ascii="Tahoma" w:hAnsi="Tahoma" w:cs="Tahoma"/>
          <w:sz w:val="20"/>
          <w:szCs w:val="20"/>
        </w:rPr>
        <w:t>Las especificaciones técnicas solicitadas en las Bases, fueron cumplidas en su mayoría, siendo que las observaciones realizadas por la Entidad sólo obedecen  a que los componentes de las computadoras debían ser de la misma marca. (sic)</w:t>
      </w:r>
    </w:p>
    <w:p w:rsidR="00076C20" w:rsidRPr="00076C20" w:rsidRDefault="00076C20" w:rsidP="00076C20">
      <w:pPr>
        <w:ind w:left="1134"/>
        <w:rPr>
          <w:rFonts w:ascii="Tahoma" w:hAnsi="Tahoma" w:cs="Tahoma"/>
          <w:sz w:val="20"/>
          <w:szCs w:val="20"/>
        </w:rPr>
      </w:pPr>
    </w:p>
    <w:p w:rsidR="00076C20" w:rsidRPr="00076C20" w:rsidRDefault="00076C20" w:rsidP="00076C20">
      <w:pPr>
        <w:numPr>
          <w:ilvl w:val="0"/>
          <w:numId w:val="22"/>
        </w:numPr>
        <w:ind w:left="1134" w:hanging="283"/>
        <w:jc w:val="both"/>
        <w:rPr>
          <w:rFonts w:ascii="Tahoma" w:hAnsi="Tahoma" w:cs="Tahoma"/>
          <w:sz w:val="20"/>
          <w:szCs w:val="20"/>
        </w:rPr>
      </w:pPr>
      <w:r w:rsidRPr="00076C20">
        <w:rPr>
          <w:rFonts w:ascii="Tahoma" w:hAnsi="Tahoma" w:cs="Tahoma"/>
          <w:sz w:val="20"/>
          <w:szCs w:val="20"/>
        </w:rPr>
        <w:t>En ese sentido, en forma oportuna mi representada remitió el Oficio № 03-2010-DG-CESP de fecha 04 de septiembre de 2010, mediante el cual se comunicó a la Entidad que las cinco (5) computadoras que se entregarían contenían partes (CPU, teclado, monitor) de diferentes marcas de empresas (Foxconn, Genius y Hyundai), siendo éstas consorciadas, lo cual no tuvo observación alguna por la Entidad, siendo recibidas por el responsable del Almacén de la Entidad a entera satisfacción.  (sic)</w:t>
      </w:r>
    </w:p>
    <w:p w:rsidR="00076C20" w:rsidRPr="00076C20" w:rsidRDefault="00076C20" w:rsidP="00076C20">
      <w:pPr>
        <w:pStyle w:val="Prrafodelista"/>
        <w:rPr>
          <w:rFonts w:ascii="Tahoma" w:hAnsi="Tahoma" w:cs="Tahoma"/>
        </w:rPr>
      </w:pPr>
    </w:p>
    <w:p w:rsidR="00076C20" w:rsidRPr="00076C20" w:rsidRDefault="00076C20" w:rsidP="00076C20">
      <w:pPr>
        <w:numPr>
          <w:ilvl w:val="0"/>
          <w:numId w:val="22"/>
        </w:numPr>
        <w:ind w:left="1134" w:hanging="283"/>
        <w:jc w:val="both"/>
        <w:rPr>
          <w:rFonts w:ascii="Tahoma" w:hAnsi="Tahoma" w:cs="Tahoma"/>
          <w:sz w:val="20"/>
          <w:szCs w:val="20"/>
        </w:rPr>
      </w:pPr>
      <w:r w:rsidRPr="00076C20">
        <w:rPr>
          <w:rFonts w:ascii="Tahoma" w:hAnsi="Tahoma" w:cs="Tahoma"/>
          <w:sz w:val="20"/>
          <w:szCs w:val="20"/>
        </w:rPr>
        <w:t>De otro lado, en cuanto a las observaciones referidas a que no se remitieron el Certificado de Licencia Microsoft, así como el CD de recuperación de S.O, cabe precisar, que éstos no fueron solicitados en las especificaciones técnicas de las Bases, razón por la cual mi representada no ha infringido la normativa de las contrataciones públicas. (sic)</w:t>
      </w:r>
    </w:p>
    <w:p w:rsidR="00076C20" w:rsidRPr="00076C20" w:rsidRDefault="00076C20" w:rsidP="00076C20">
      <w:pPr>
        <w:pStyle w:val="Prrafodelista"/>
        <w:rPr>
          <w:rFonts w:ascii="Tahoma" w:hAnsi="Tahoma" w:cs="Tahoma"/>
        </w:rPr>
      </w:pPr>
    </w:p>
    <w:p w:rsidR="00076C20" w:rsidRPr="00076C20" w:rsidRDefault="00076C20" w:rsidP="00076C20">
      <w:pPr>
        <w:numPr>
          <w:ilvl w:val="0"/>
          <w:numId w:val="22"/>
        </w:numPr>
        <w:ind w:left="1134" w:hanging="283"/>
        <w:jc w:val="both"/>
        <w:rPr>
          <w:rFonts w:ascii="Tahoma" w:hAnsi="Tahoma" w:cs="Tahoma"/>
          <w:sz w:val="20"/>
          <w:szCs w:val="20"/>
        </w:rPr>
      </w:pPr>
      <w:r w:rsidRPr="00076C20">
        <w:rPr>
          <w:rFonts w:ascii="Tahoma" w:hAnsi="Tahoma" w:cs="Tahoma"/>
          <w:sz w:val="20"/>
          <w:szCs w:val="20"/>
        </w:rPr>
        <w:t>De lo expuesto, es necesario resaltar que el objeto del contrato si fue cumplido, a excepción de los componentes de las computadoras, las mismas que previamente fueron consultadas a la Entidad. Por ello, en todo caso, la resolución debió ser parcial, habida cuenta de la existencia de la única observación relacionada a los componentes de los equipos.</w:t>
      </w:r>
    </w:p>
    <w:p w:rsidR="00076C20" w:rsidRPr="00076C20" w:rsidRDefault="00076C20" w:rsidP="00076C20">
      <w:pPr>
        <w:pStyle w:val="Prrafodelista"/>
        <w:rPr>
          <w:rFonts w:ascii="Tahoma" w:hAnsi="Tahoma" w:cs="Tahoma"/>
        </w:rPr>
      </w:pPr>
    </w:p>
    <w:p w:rsidR="00076C20" w:rsidRPr="00076C20" w:rsidRDefault="00076C20" w:rsidP="00076C20">
      <w:pPr>
        <w:numPr>
          <w:ilvl w:val="0"/>
          <w:numId w:val="22"/>
        </w:numPr>
        <w:ind w:left="1134" w:hanging="283"/>
        <w:jc w:val="both"/>
        <w:rPr>
          <w:rFonts w:ascii="Tahoma" w:hAnsi="Tahoma" w:cs="Tahoma"/>
          <w:sz w:val="20"/>
          <w:szCs w:val="20"/>
        </w:rPr>
      </w:pPr>
      <w:r w:rsidRPr="00076C20">
        <w:rPr>
          <w:rFonts w:ascii="Tahoma" w:hAnsi="Tahoma" w:cs="Tahoma"/>
          <w:sz w:val="20"/>
          <w:szCs w:val="20"/>
        </w:rPr>
        <w:t>Finalmente, solicitó uso de la palabra.</w:t>
      </w:r>
    </w:p>
    <w:p w:rsidR="00076C20" w:rsidRPr="00076C20" w:rsidRDefault="00076C20" w:rsidP="00076C20">
      <w:pPr>
        <w:pStyle w:val="Prrafodelista"/>
        <w:rPr>
          <w:rFonts w:ascii="Tahoma" w:hAnsi="Tahoma" w:cs="Tahoma"/>
        </w:rPr>
      </w:pPr>
    </w:p>
    <w:p w:rsidR="00076C20" w:rsidRPr="00076C20" w:rsidRDefault="00076C20" w:rsidP="00076C20">
      <w:pPr>
        <w:numPr>
          <w:ilvl w:val="0"/>
          <w:numId w:val="19"/>
        </w:numPr>
        <w:ind w:left="567" w:hanging="567"/>
        <w:jc w:val="both"/>
        <w:rPr>
          <w:rFonts w:ascii="Tahoma" w:hAnsi="Tahoma" w:cs="Tahoma"/>
          <w:sz w:val="20"/>
          <w:szCs w:val="20"/>
        </w:rPr>
      </w:pPr>
      <w:r w:rsidRPr="00076C20">
        <w:rPr>
          <w:rFonts w:ascii="Tahoma" w:hAnsi="Tahoma" w:cs="Tahoma"/>
          <w:sz w:val="20"/>
          <w:szCs w:val="20"/>
        </w:rPr>
        <w:t>Con decreto de fecha 14 de abril de 2011, se tuvo por apersonada al Contratista a la instancia administrativa, y se remitió el expediente a la Primera Sala del Tribunal para que resolviera.</w:t>
      </w:r>
    </w:p>
    <w:p w:rsidR="00076C20" w:rsidRPr="00076C20" w:rsidRDefault="00076C20" w:rsidP="00076C20">
      <w:pPr>
        <w:ind w:left="567"/>
        <w:rPr>
          <w:rFonts w:ascii="Tahoma" w:hAnsi="Tahoma" w:cs="Tahoma"/>
          <w:sz w:val="20"/>
          <w:szCs w:val="20"/>
        </w:rPr>
      </w:pPr>
      <w:r w:rsidRPr="00076C20">
        <w:rPr>
          <w:rFonts w:ascii="Tahoma" w:hAnsi="Tahoma" w:cs="Tahoma"/>
          <w:sz w:val="20"/>
          <w:szCs w:val="20"/>
        </w:rPr>
        <w:t xml:space="preserve"> </w:t>
      </w:r>
    </w:p>
    <w:p w:rsidR="00076C20" w:rsidRPr="00076C20" w:rsidRDefault="00076C20" w:rsidP="00076C20">
      <w:pPr>
        <w:numPr>
          <w:ilvl w:val="0"/>
          <w:numId w:val="19"/>
        </w:numPr>
        <w:ind w:left="567" w:hanging="567"/>
        <w:jc w:val="both"/>
        <w:rPr>
          <w:rFonts w:ascii="Tahoma" w:hAnsi="Tahoma" w:cs="Tahoma"/>
          <w:sz w:val="20"/>
          <w:szCs w:val="20"/>
        </w:rPr>
      </w:pPr>
      <w:r w:rsidRPr="00076C20">
        <w:rPr>
          <w:rFonts w:ascii="Tahoma" w:hAnsi="Tahoma" w:cs="Tahoma"/>
          <w:sz w:val="20"/>
          <w:szCs w:val="20"/>
          <w:lang w:val="es-ES_tradnl"/>
        </w:rPr>
        <w:t xml:space="preserve">A través del decreto de fecha 19 de abril de 2011, el Tribunal programó Audiencia Pública para el 19 de mayo del mismo mes, </w:t>
      </w:r>
      <w:r w:rsidRPr="00076C20">
        <w:rPr>
          <w:rFonts w:ascii="Tahoma" w:hAnsi="Tahoma" w:cs="Tahoma"/>
          <w:sz w:val="20"/>
          <w:szCs w:val="20"/>
        </w:rPr>
        <w:t>la misma que quedó frustrada por inasistencia de las partes.</w:t>
      </w:r>
    </w:p>
    <w:p w:rsidR="006E5571" w:rsidRPr="00076C20" w:rsidRDefault="006E5571" w:rsidP="00E13E6B">
      <w:pPr>
        <w:pStyle w:val="Textoindependiente"/>
        <w:tabs>
          <w:tab w:val="left" w:pos="-2340"/>
          <w:tab w:val="left" w:pos="540"/>
        </w:tabs>
        <w:spacing w:after="0"/>
        <w:ind w:left="180" w:hanging="180"/>
        <w:jc w:val="both"/>
        <w:rPr>
          <w:rFonts w:ascii="Tahoma" w:hAnsi="Tahoma" w:cs="Tahoma"/>
          <w:b/>
          <w:sz w:val="20"/>
          <w:szCs w:val="20"/>
        </w:rPr>
      </w:pPr>
    </w:p>
    <w:p w:rsidR="00E13E6B" w:rsidRPr="00076C20" w:rsidRDefault="00E13E6B" w:rsidP="00E13E6B">
      <w:pPr>
        <w:pStyle w:val="Textoindependiente"/>
        <w:tabs>
          <w:tab w:val="left" w:pos="-2340"/>
          <w:tab w:val="left" w:pos="540"/>
        </w:tabs>
        <w:spacing w:after="0"/>
        <w:ind w:left="180" w:hanging="180"/>
        <w:jc w:val="both"/>
        <w:rPr>
          <w:rFonts w:ascii="Tahoma" w:hAnsi="Tahoma" w:cs="Tahoma"/>
          <w:b/>
          <w:sz w:val="20"/>
          <w:szCs w:val="20"/>
        </w:rPr>
      </w:pPr>
      <w:r w:rsidRPr="00076C20">
        <w:rPr>
          <w:rFonts w:ascii="Tahoma" w:hAnsi="Tahoma" w:cs="Tahoma"/>
          <w:b/>
          <w:sz w:val="20"/>
          <w:szCs w:val="20"/>
        </w:rPr>
        <w:tab/>
      </w:r>
      <w:r w:rsidRPr="00076C20">
        <w:rPr>
          <w:rFonts w:ascii="Tahoma" w:hAnsi="Tahoma" w:cs="Tahoma"/>
          <w:b/>
          <w:sz w:val="20"/>
          <w:szCs w:val="20"/>
        </w:rPr>
        <w:tab/>
        <w:t>FUNDAMENTACIÓN:</w:t>
      </w:r>
    </w:p>
    <w:p w:rsidR="00E13E6B" w:rsidRPr="00076C20" w:rsidRDefault="00E13E6B" w:rsidP="00E13E6B">
      <w:pPr>
        <w:pStyle w:val="Sangradetextonormal"/>
        <w:spacing w:after="0"/>
        <w:ind w:left="0"/>
        <w:jc w:val="both"/>
        <w:rPr>
          <w:rFonts w:ascii="Tahoma" w:hAnsi="Tahoma" w:cs="Tahoma"/>
          <w:sz w:val="20"/>
          <w:szCs w:val="20"/>
        </w:rPr>
      </w:pPr>
    </w:p>
    <w:p w:rsidR="00076C20" w:rsidRPr="00076C20" w:rsidRDefault="00076C20" w:rsidP="00076C20">
      <w:pPr>
        <w:pStyle w:val="Prrafodelista"/>
        <w:numPr>
          <w:ilvl w:val="0"/>
          <w:numId w:val="4"/>
        </w:numPr>
        <w:ind w:left="567" w:hanging="567"/>
        <w:jc w:val="both"/>
        <w:rPr>
          <w:rFonts w:ascii="Tahoma" w:hAnsi="Tahoma" w:cs="Tahoma"/>
        </w:rPr>
      </w:pPr>
      <w:r w:rsidRPr="00076C20">
        <w:rPr>
          <w:rFonts w:ascii="Tahoma" w:hAnsi="Tahoma" w:cs="Tahoma"/>
        </w:rPr>
        <w:t xml:space="preserve">El numeral 1 del artículo 235 de la Ley № 27444, Ley del Procedimiento Administrativo General, establece que el procedimiento administrativo sancionador se inicia siempre de </w:t>
      </w:r>
      <w:r w:rsidRPr="00076C20">
        <w:rPr>
          <w:rFonts w:ascii="Tahoma" w:hAnsi="Tahoma" w:cs="Tahoma"/>
        </w:rPr>
        <w:lastRenderedPageBreak/>
        <w:t>oficio, bien por propia iniciativa o como consecuencia de una orden superior, petición motivada de otros órganos o entidades o por denuncia.</w:t>
      </w:r>
    </w:p>
    <w:p w:rsidR="00076C20" w:rsidRPr="00076C20" w:rsidRDefault="00076C20" w:rsidP="00076C20">
      <w:pPr>
        <w:pStyle w:val="Prrafodelista"/>
        <w:ind w:left="567"/>
        <w:rPr>
          <w:rFonts w:ascii="Tahoma" w:hAnsi="Tahoma" w:cs="Tahoma"/>
        </w:rPr>
      </w:pPr>
    </w:p>
    <w:p w:rsidR="00076C20" w:rsidRPr="00076C20" w:rsidRDefault="00076C20" w:rsidP="00076C20">
      <w:pPr>
        <w:pStyle w:val="Prrafodelista"/>
        <w:numPr>
          <w:ilvl w:val="0"/>
          <w:numId w:val="4"/>
        </w:numPr>
        <w:ind w:left="567" w:hanging="567"/>
        <w:jc w:val="both"/>
        <w:rPr>
          <w:rFonts w:ascii="Tahoma" w:hAnsi="Tahoma" w:cs="Tahoma"/>
        </w:rPr>
      </w:pPr>
      <w:r w:rsidRPr="00076C20">
        <w:rPr>
          <w:rFonts w:ascii="Tahoma" w:hAnsi="Tahoma" w:cs="Tahoma"/>
        </w:rPr>
        <w:t>El presente caso está referido a la supuesta responsabilidad del Contratista por el incumplimiento injustificado de las obligaciones de la Orden de Compra № 365 de fecha 31 de agosto de 2010, derivada de la Adjudicación de Menor cuantía № 020-2010-PCM, primera convocatoria, supuesto de hecho del tipo legal previsto en el literal b) del numeral 51.1 del artículo 51 de la Ley</w:t>
      </w:r>
      <w:r w:rsidRPr="00076C20">
        <w:rPr>
          <w:rStyle w:val="Refdenotaalpie"/>
          <w:rFonts w:ascii="Tahoma" w:hAnsi="Tahoma" w:cs="Tahoma"/>
        </w:rPr>
        <w:footnoteReference w:id="2"/>
      </w:r>
      <w:r w:rsidRPr="00076C20">
        <w:rPr>
          <w:rFonts w:ascii="Tahoma" w:hAnsi="Tahoma" w:cs="Tahoma"/>
        </w:rPr>
        <w:t xml:space="preserve"> en concordancia con el literal b) del numeral 1) del artículo 237 del Reglamento</w:t>
      </w:r>
      <w:r w:rsidRPr="00076C20">
        <w:rPr>
          <w:rStyle w:val="Refdenotaalpie"/>
          <w:rFonts w:ascii="Tahoma" w:hAnsi="Tahoma" w:cs="Tahoma"/>
        </w:rPr>
        <w:footnoteReference w:id="3"/>
      </w:r>
      <w:r w:rsidRPr="00076C20">
        <w:rPr>
          <w:rFonts w:ascii="Tahoma" w:hAnsi="Tahoma" w:cs="Tahoma"/>
        </w:rPr>
        <w:t>, norma vigente al momento de suscitado el hecho imputado.</w:t>
      </w:r>
    </w:p>
    <w:p w:rsidR="00076C20" w:rsidRPr="00076C20" w:rsidRDefault="00076C20" w:rsidP="00076C20">
      <w:pPr>
        <w:pStyle w:val="Prrafodelista"/>
        <w:rPr>
          <w:rFonts w:ascii="Tahoma" w:hAnsi="Tahoma" w:cs="Tahoma"/>
        </w:rPr>
      </w:pPr>
    </w:p>
    <w:p w:rsidR="00076C20" w:rsidRPr="00076C20" w:rsidRDefault="00076C20" w:rsidP="00076C20">
      <w:pPr>
        <w:pStyle w:val="Prrafodelista"/>
        <w:numPr>
          <w:ilvl w:val="0"/>
          <w:numId w:val="4"/>
        </w:numPr>
        <w:ind w:left="567" w:hanging="567"/>
        <w:jc w:val="both"/>
        <w:rPr>
          <w:rFonts w:ascii="Tahoma" w:hAnsi="Tahoma" w:cs="Tahoma"/>
        </w:rPr>
      </w:pPr>
      <w:r w:rsidRPr="00076C20">
        <w:rPr>
          <w:rFonts w:ascii="Tahoma" w:hAnsi="Tahoma" w:cs="Tahoma"/>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causal atribuible a la Contratista.</w:t>
      </w:r>
    </w:p>
    <w:p w:rsidR="00076C20" w:rsidRPr="00076C20" w:rsidRDefault="00076C20" w:rsidP="00076C20">
      <w:pPr>
        <w:pStyle w:val="Prrafodelista"/>
        <w:rPr>
          <w:rFonts w:ascii="Tahoma" w:hAnsi="Tahoma" w:cs="Tahoma"/>
        </w:rPr>
      </w:pPr>
    </w:p>
    <w:p w:rsidR="00076C20" w:rsidRPr="00076C20" w:rsidRDefault="00076C20" w:rsidP="00076C20">
      <w:pPr>
        <w:pStyle w:val="Prrafodelista"/>
        <w:numPr>
          <w:ilvl w:val="0"/>
          <w:numId w:val="4"/>
        </w:numPr>
        <w:ind w:left="567" w:hanging="567"/>
        <w:jc w:val="both"/>
        <w:rPr>
          <w:rFonts w:ascii="Tahoma" w:hAnsi="Tahoma" w:cs="Tahoma"/>
        </w:rPr>
      </w:pPr>
      <w:r w:rsidRPr="00076C20">
        <w:rPr>
          <w:rFonts w:ascii="Tahoma" w:hAnsi="Tahoma" w:cs="Tahoma"/>
          <w:lang w:val="es-MX"/>
        </w:rPr>
        <w:t xml:space="preserve">Ahora bien, teniendo en consideración que el presente proceso de selección deriva de una adjudicación de menor cuantía, es necesario traer a colación </w:t>
      </w:r>
      <w:r w:rsidRPr="00076C20">
        <w:rPr>
          <w:rFonts w:ascii="Tahoma" w:hAnsi="Tahoma" w:cs="Tahoma"/>
        </w:rPr>
        <w:t>lo prescrito en el artículo 138 del Reglamento, según el cual en los casos de adjudicaciones de menor cuantía, el contrato se perfeccionará con la recepción de la orden de compra o de servicio, constituyéndose en un documento contractual, para lo cual la Entidad deberá seguir las formalidades previstas por la Ley para su resolución.</w:t>
      </w:r>
    </w:p>
    <w:p w:rsidR="00076C20" w:rsidRPr="00076C20" w:rsidRDefault="00076C20" w:rsidP="00076C20">
      <w:pPr>
        <w:pStyle w:val="Prrafodelista"/>
        <w:rPr>
          <w:rFonts w:ascii="Tahoma" w:hAnsi="Tahoma" w:cs="Tahoma"/>
        </w:rPr>
      </w:pPr>
    </w:p>
    <w:p w:rsidR="00076C20" w:rsidRPr="00076C20" w:rsidRDefault="00076C20" w:rsidP="00076C20">
      <w:pPr>
        <w:ind w:left="567"/>
        <w:jc w:val="both"/>
        <w:rPr>
          <w:rFonts w:ascii="Tahoma" w:hAnsi="Tahoma" w:cs="Tahoma"/>
          <w:sz w:val="20"/>
          <w:szCs w:val="20"/>
        </w:rPr>
      </w:pPr>
      <w:r w:rsidRPr="00076C20">
        <w:rPr>
          <w:rFonts w:ascii="Tahoma" w:hAnsi="Tahoma" w:cs="Tahoma"/>
          <w:sz w:val="20"/>
          <w:szCs w:val="20"/>
        </w:rPr>
        <w:t xml:space="preserve">En ese orden de ideas, tenemos que los contratos se perfeccionan con la suscripción del documento que lo contiene, siendo que en el caso de relaciones contractuales derivadas de procesos de adjudicaciones de menores cuantías —y cuando se haya optado por emitir solamente una orden de compra o de servicio— dicho perfeccionamiento se dará con la recepción por parte del contratista de ese documento. </w:t>
      </w:r>
    </w:p>
    <w:p w:rsidR="00076C20" w:rsidRPr="00076C20" w:rsidRDefault="00076C20" w:rsidP="00076C20">
      <w:pPr>
        <w:ind w:left="567"/>
        <w:rPr>
          <w:rFonts w:ascii="Tahoma" w:hAnsi="Tahoma" w:cs="Tahoma"/>
          <w:sz w:val="20"/>
          <w:szCs w:val="20"/>
        </w:rPr>
      </w:pPr>
    </w:p>
    <w:p w:rsidR="00076C20" w:rsidRPr="00076C20" w:rsidRDefault="00076C20" w:rsidP="00076C20">
      <w:pPr>
        <w:pStyle w:val="Prrafodelista"/>
        <w:numPr>
          <w:ilvl w:val="0"/>
          <w:numId w:val="4"/>
        </w:numPr>
        <w:ind w:left="567" w:hanging="567"/>
        <w:contextualSpacing w:val="0"/>
        <w:jc w:val="both"/>
        <w:rPr>
          <w:rFonts w:ascii="Tahoma" w:hAnsi="Tahoma" w:cs="Tahoma"/>
        </w:rPr>
      </w:pPr>
      <w:r w:rsidRPr="00076C20">
        <w:rPr>
          <w:rFonts w:ascii="Tahoma" w:hAnsi="Tahoma" w:cs="Tahoma"/>
        </w:rPr>
        <w:t>En ese sentido, este Colegiado considera que todos los requisitos necesarios para el perfeccionamiento del contrato se han cumplido, toda vez que la Orden de Compra № 365 de fecha 31 de agosto de 2010 había sido suscrita por el representante de la Entidad, debiendo por ello considerarse a la Entidad como su emisor, así como también contiene el objeto de la prestación a realizar, la cual se encuentra detallada en las Bases que se describe incluso en la proforma de contrato, y finalmente la referida orden de compra fue recepcionada por el Contratista el 03 de septiembre de 2010, conforme lo ha señalado en la Carta № 004-2010-DG-CRSP de fecha 22 de septiembre de 2010</w:t>
      </w:r>
      <w:r w:rsidRPr="00076C20">
        <w:rPr>
          <w:rStyle w:val="Refdenotaalpie"/>
          <w:rFonts w:ascii="Tahoma" w:hAnsi="Tahoma" w:cs="Tahoma"/>
        </w:rPr>
        <w:footnoteReference w:id="4"/>
      </w:r>
      <w:r w:rsidRPr="00076C20">
        <w:rPr>
          <w:rFonts w:ascii="Tahoma" w:hAnsi="Tahoma" w:cs="Tahoma"/>
        </w:rPr>
        <w:t>.</w:t>
      </w:r>
    </w:p>
    <w:p w:rsidR="00076C20" w:rsidRPr="00076C20" w:rsidRDefault="00076C20" w:rsidP="00076C20">
      <w:pPr>
        <w:pStyle w:val="Prrafodelista"/>
        <w:rPr>
          <w:rFonts w:ascii="Tahoma" w:hAnsi="Tahoma" w:cs="Tahoma"/>
        </w:rPr>
      </w:pPr>
    </w:p>
    <w:p w:rsidR="00076C20" w:rsidRPr="00076C20" w:rsidRDefault="00076C20" w:rsidP="00076C20">
      <w:pPr>
        <w:pStyle w:val="Prrafodelista"/>
        <w:numPr>
          <w:ilvl w:val="0"/>
          <w:numId w:val="4"/>
        </w:numPr>
        <w:ind w:left="567" w:hanging="567"/>
        <w:jc w:val="both"/>
        <w:rPr>
          <w:rFonts w:ascii="Tahoma" w:hAnsi="Tahoma" w:cs="Tahoma"/>
        </w:rPr>
      </w:pPr>
      <w:r w:rsidRPr="00076C20">
        <w:rPr>
          <w:rFonts w:ascii="Tahoma" w:hAnsi="Tahoma" w:cs="Tahoma"/>
        </w:rPr>
        <w:t>En ese orden de ideas, el artículo 168 del Reglamento prescribe las causales de resolución por incumplimiento, siendo que la Entidad podrá resolver el contrato cuando el Contratista: 1) Incumpla injustificadamente obligaciones contractuales, legales o reglamentarias a su cargo, pese a haber sido requerido para ello; 2) Haya acumulado el monto máximo de la penalidad por mora o el monto máximo para otras penalidades, en la ejecución de la prestación a su cargo; y 3) Paralice o reduzca injustificadamente la ejecución de la prestación, pese a haber sido requerido para corregir tal situación.</w:t>
      </w:r>
    </w:p>
    <w:p w:rsidR="00076C20" w:rsidRPr="00076C20" w:rsidRDefault="00076C20" w:rsidP="00076C20">
      <w:pPr>
        <w:pStyle w:val="Prrafodelista"/>
        <w:rPr>
          <w:rFonts w:ascii="Tahoma" w:hAnsi="Tahoma" w:cs="Tahoma"/>
        </w:rPr>
      </w:pPr>
    </w:p>
    <w:p w:rsidR="00076C20" w:rsidRPr="00076C20" w:rsidRDefault="00076C20" w:rsidP="00076C20">
      <w:pPr>
        <w:pStyle w:val="Prrafodelista"/>
        <w:numPr>
          <w:ilvl w:val="0"/>
          <w:numId w:val="4"/>
        </w:numPr>
        <w:ind w:left="567" w:hanging="567"/>
        <w:jc w:val="both"/>
        <w:rPr>
          <w:rFonts w:ascii="Tahoma" w:hAnsi="Tahoma" w:cs="Tahoma"/>
        </w:rPr>
      </w:pPr>
      <w:r w:rsidRPr="00076C20">
        <w:rPr>
          <w:rFonts w:ascii="Tahoma" w:hAnsi="Tahoma" w:cs="Tahoma"/>
        </w:rPr>
        <w:t xml:space="preserve">Ahora bien, el procedimiento de resolución contractual, cuya observancia es condición necesaria para evaluar la existencia de eventuales responsabilidades de carácter administrativo, se encuentra previsto en el artículo 169 del Reglamento, según el cual en caso de incumplimiento contractual de una de las partes involucradas, la parte que resulte perjudicada con tal hecho requerirá a la otra notarialmente para que satisfaga sus obligaciones en un plazo no mayor de cinco (5) días, bajo apercibimiento de resolver el contrato. De continuar el incumplimiento contractual, la citada disposición reglamentaria precisa que la parte perjudicada comunicará notarialmente la resolución total o parcial del contrato. </w:t>
      </w:r>
    </w:p>
    <w:p w:rsidR="00076C20" w:rsidRPr="00076C20" w:rsidRDefault="00076C20" w:rsidP="00076C20">
      <w:pPr>
        <w:pStyle w:val="Prrafodelista"/>
        <w:rPr>
          <w:rFonts w:ascii="Tahoma" w:hAnsi="Tahoma" w:cs="Tahoma"/>
        </w:rPr>
      </w:pPr>
    </w:p>
    <w:p w:rsidR="00076C20" w:rsidRPr="00076C20" w:rsidRDefault="00076C20" w:rsidP="00076C20">
      <w:pPr>
        <w:pStyle w:val="Prrafodelista"/>
        <w:numPr>
          <w:ilvl w:val="0"/>
          <w:numId w:val="4"/>
        </w:numPr>
        <w:ind w:left="567" w:hanging="567"/>
        <w:jc w:val="both"/>
        <w:rPr>
          <w:rFonts w:ascii="Tahoma" w:hAnsi="Tahoma" w:cs="Tahoma"/>
        </w:rPr>
      </w:pPr>
      <w:r w:rsidRPr="00076C20">
        <w:rPr>
          <w:rFonts w:ascii="Tahoma" w:hAnsi="Tahoma" w:cs="Tahoma"/>
        </w:rPr>
        <w:t>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hayan generado incumplimientos contractuales, si se logra verificar que la Entidad no ha resuelto el contrato en observancia de las normas citadas, la conducta no será pasible de sanción.</w:t>
      </w:r>
    </w:p>
    <w:p w:rsidR="00076C20" w:rsidRPr="00076C20" w:rsidRDefault="00076C20" w:rsidP="00076C20">
      <w:pPr>
        <w:pStyle w:val="Prrafodelista"/>
        <w:rPr>
          <w:rFonts w:ascii="Tahoma" w:hAnsi="Tahoma" w:cs="Tahoma"/>
        </w:rPr>
      </w:pPr>
    </w:p>
    <w:p w:rsidR="00076C20" w:rsidRPr="00076C20" w:rsidRDefault="00076C20" w:rsidP="00076C20">
      <w:pPr>
        <w:pStyle w:val="Prrafodelista"/>
        <w:numPr>
          <w:ilvl w:val="0"/>
          <w:numId w:val="4"/>
        </w:numPr>
        <w:ind w:left="567" w:hanging="567"/>
        <w:jc w:val="both"/>
        <w:rPr>
          <w:rFonts w:ascii="Tahoma" w:hAnsi="Tahoma" w:cs="Tahoma"/>
        </w:rPr>
      </w:pPr>
      <w:r w:rsidRPr="00076C20">
        <w:rPr>
          <w:rFonts w:ascii="Tahoma" w:hAnsi="Tahoma" w:cs="Tahoma"/>
        </w:rPr>
        <w:t>Este criterio, además, ha sido recogido en el Acuerdo de Sala Plena № 018/010 del 4 de setiembre de 2002</w:t>
      </w:r>
      <w:r w:rsidRPr="00076C20">
        <w:rPr>
          <w:rStyle w:val="Refdenotaalpie"/>
          <w:rFonts w:ascii="Tahoma" w:hAnsi="Tahoma" w:cs="Tahoma"/>
        </w:rPr>
        <w:footnoteReference w:id="5"/>
      </w:r>
      <w:r w:rsidRPr="00076C20">
        <w:rPr>
          <w:rFonts w:ascii="Tahoma" w:hAnsi="Tahoma" w:cs="Tahoma"/>
        </w:rPr>
        <w:t>, en el que el Tribunal expresamente dispuso que, para la imposición de sanción por la causal que nos ocupa, las Entidades denunciantes deberán presentar la documentación que acredite haber dado cumplimiento al procedimiento de resolución antes expuesto, es decir el envío de la carta notarial de requerimiento previo a la Contratista para el cumplimiento de la obligación y la carta notarial mediante la cual se le comunica el Acuerdo o Resolución que resuelve el contrato, agregando que en caso de no habérsele requerido o cuando, habiendo sido solicitados los documentos acreditativos por el Tribunal, estos no hubiesen sido presentados, se declarará no ha lugar al inicio del procedimiento administrativo sancionador, disponiéndose el archivamiento del expediente, al haberse incumplido con el debido procedimiento.</w:t>
      </w:r>
    </w:p>
    <w:p w:rsidR="00076C20" w:rsidRPr="00076C20" w:rsidRDefault="00076C20" w:rsidP="00076C20">
      <w:pPr>
        <w:pStyle w:val="Prrafodelista"/>
        <w:rPr>
          <w:rFonts w:ascii="Tahoma" w:hAnsi="Tahoma" w:cs="Tahoma"/>
        </w:rPr>
      </w:pPr>
    </w:p>
    <w:p w:rsidR="00076C20" w:rsidRPr="00076C20" w:rsidRDefault="00076C20" w:rsidP="00076C20">
      <w:pPr>
        <w:pStyle w:val="Prrafodelista"/>
        <w:numPr>
          <w:ilvl w:val="0"/>
          <w:numId w:val="4"/>
        </w:numPr>
        <w:ind w:left="567" w:hanging="567"/>
        <w:jc w:val="both"/>
        <w:rPr>
          <w:rFonts w:ascii="Tahoma" w:hAnsi="Tahoma" w:cs="Tahoma"/>
        </w:rPr>
      </w:pPr>
      <w:r w:rsidRPr="00076C20">
        <w:rPr>
          <w:rFonts w:ascii="Tahoma" w:hAnsi="Tahoma" w:cs="Tahoma"/>
        </w:rPr>
        <w:t xml:space="preserve">De los antecedentes remitidos por la Entidad, se observa que la Entidad remitió al Contratista, </w:t>
      </w:r>
      <w:r w:rsidRPr="00076C20">
        <w:rPr>
          <w:rFonts w:ascii="Tahoma" w:hAnsi="Tahoma" w:cs="Tahoma"/>
          <w:u w:val="single"/>
        </w:rPr>
        <w:t>vía conducto notarial</w:t>
      </w:r>
      <w:r w:rsidRPr="00076C20">
        <w:rPr>
          <w:rFonts w:ascii="Tahoma" w:hAnsi="Tahoma" w:cs="Tahoma"/>
        </w:rPr>
        <w:t>, las siguientes comunicaciones:</w:t>
      </w:r>
    </w:p>
    <w:p w:rsidR="00076C20" w:rsidRPr="00076C20" w:rsidRDefault="00076C20" w:rsidP="00076C20">
      <w:pPr>
        <w:tabs>
          <w:tab w:val="left" w:pos="8280"/>
        </w:tabs>
        <w:ind w:left="567" w:hanging="567"/>
        <w:rPr>
          <w:rFonts w:ascii="Tahoma" w:hAnsi="Tahoma" w:cs="Tahoma"/>
          <w:b/>
          <w:sz w:val="20"/>
          <w:szCs w:val="20"/>
          <w:lang w:val="es-PE"/>
        </w:rPr>
      </w:pPr>
    </w:p>
    <w:p w:rsidR="00076C20" w:rsidRPr="00076C20" w:rsidRDefault="00076C20" w:rsidP="00076C20">
      <w:pPr>
        <w:numPr>
          <w:ilvl w:val="0"/>
          <w:numId w:val="20"/>
        </w:numPr>
        <w:ind w:hanging="578"/>
        <w:jc w:val="both"/>
        <w:rPr>
          <w:rFonts w:ascii="Tahoma" w:hAnsi="Tahoma" w:cs="Tahoma"/>
          <w:sz w:val="20"/>
          <w:szCs w:val="20"/>
        </w:rPr>
      </w:pPr>
      <w:r w:rsidRPr="00076C20">
        <w:rPr>
          <w:rFonts w:ascii="Tahoma" w:hAnsi="Tahoma" w:cs="Tahoma"/>
          <w:sz w:val="20"/>
          <w:szCs w:val="20"/>
        </w:rPr>
        <w:t xml:space="preserve">Mediante Carta Notarial № 080-2010-PCM/OAA de fecha 24 de septiembre de 2010, diligenciada el mismo día, mes y año, la Entidad requirió al Contratista a fin </w:t>
      </w:r>
      <w:r w:rsidRPr="00076C20">
        <w:rPr>
          <w:rFonts w:ascii="Tahoma" w:hAnsi="Tahoma" w:cs="Tahoma"/>
          <w:sz w:val="20"/>
          <w:szCs w:val="20"/>
        </w:rPr>
        <w:lastRenderedPageBreak/>
        <w:t>que dentro del plazo de tres (03) días calendario cumpliera con subsanar las observaciones realizadas a los bienes internados el 06 de septiembre de 2010, conforme a las especificaciones técnicas de las Bases materializadas en la Orden de Compra № 365, bajo apercibimiento de proceder a la resolución contractual.</w:t>
      </w:r>
    </w:p>
    <w:p w:rsidR="00076C20" w:rsidRPr="00076C20" w:rsidRDefault="00076C20" w:rsidP="00076C20">
      <w:pPr>
        <w:ind w:left="1287" w:hanging="578"/>
        <w:rPr>
          <w:rFonts w:ascii="Tahoma" w:hAnsi="Tahoma" w:cs="Tahoma"/>
          <w:sz w:val="20"/>
          <w:szCs w:val="20"/>
        </w:rPr>
      </w:pPr>
    </w:p>
    <w:p w:rsidR="00076C20" w:rsidRPr="00076C20" w:rsidRDefault="00076C20" w:rsidP="00076C20">
      <w:pPr>
        <w:numPr>
          <w:ilvl w:val="0"/>
          <w:numId w:val="20"/>
        </w:numPr>
        <w:ind w:hanging="578"/>
        <w:jc w:val="both"/>
        <w:rPr>
          <w:rFonts w:ascii="Tahoma" w:hAnsi="Tahoma" w:cs="Tahoma"/>
          <w:sz w:val="20"/>
          <w:szCs w:val="20"/>
        </w:rPr>
      </w:pPr>
      <w:r w:rsidRPr="00076C20">
        <w:rPr>
          <w:rFonts w:ascii="Tahoma" w:hAnsi="Tahoma" w:cs="Tahoma"/>
          <w:sz w:val="20"/>
          <w:szCs w:val="20"/>
        </w:rPr>
        <w:t>Asimismo, y al persistir el incumplimiento, a través de la Carta № 097-2010-PCM/OAA de fecha 26 de octubre de 2010, diligenciada el 27 del mismo mes y año, la Entidad comunicó al Contratista que, al no haber cumplido con sus obligaciones contractuales, procedía a resolver la Orden de Compra № 365; por causal atribuible a su parte.</w:t>
      </w:r>
    </w:p>
    <w:p w:rsidR="00076C20" w:rsidRPr="00076C20" w:rsidRDefault="00076C20" w:rsidP="00076C20">
      <w:pPr>
        <w:pStyle w:val="Prrafodelista"/>
        <w:rPr>
          <w:rFonts w:ascii="Tahoma" w:hAnsi="Tahoma" w:cs="Tahoma"/>
        </w:rPr>
      </w:pPr>
    </w:p>
    <w:p w:rsidR="00076C20" w:rsidRPr="00076C20" w:rsidRDefault="00076C20" w:rsidP="00076C20">
      <w:pPr>
        <w:pStyle w:val="Prrafodelista"/>
        <w:numPr>
          <w:ilvl w:val="0"/>
          <w:numId w:val="4"/>
        </w:numPr>
        <w:ind w:left="567" w:hanging="567"/>
        <w:jc w:val="both"/>
        <w:rPr>
          <w:rFonts w:ascii="Tahoma" w:hAnsi="Tahoma" w:cs="Tahoma"/>
        </w:rPr>
      </w:pPr>
      <w:r w:rsidRPr="00076C20">
        <w:rPr>
          <w:rFonts w:ascii="Tahoma" w:hAnsi="Tahoma" w:cs="Tahoma"/>
        </w:rPr>
        <w:t>En tal sentido, se verifica que la Entidad ha observado la formalidad de comunicar dos cartas notariales para la resolución de la orden de compra, siendo la primera carta notarial de requerimiento al Contratista</w:t>
      </w:r>
      <w:r w:rsidRPr="00076C20">
        <w:rPr>
          <w:rFonts w:ascii="Tahoma" w:hAnsi="Tahoma" w:cs="Tahoma"/>
          <w:bCs/>
        </w:rPr>
        <w:t xml:space="preserve"> p</w:t>
      </w:r>
      <w:r w:rsidRPr="00076C20">
        <w:rPr>
          <w:rFonts w:ascii="Tahoma" w:hAnsi="Tahoma" w:cs="Tahoma"/>
        </w:rPr>
        <w:t>ara el cumplimiento de sus obligaciones y la segunda carta notarial de resolución de la orden de compra.</w:t>
      </w:r>
    </w:p>
    <w:p w:rsidR="00076C20" w:rsidRPr="00076C20" w:rsidRDefault="00076C20" w:rsidP="00076C20">
      <w:pPr>
        <w:pStyle w:val="Prrafodelista"/>
        <w:rPr>
          <w:rFonts w:ascii="Tahoma" w:hAnsi="Tahoma" w:cs="Tahoma"/>
        </w:rPr>
      </w:pPr>
    </w:p>
    <w:p w:rsidR="00076C20" w:rsidRPr="00076C20" w:rsidRDefault="00076C20" w:rsidP="00076C20">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076C20">
        <w:rPr>
          <w:rFonts w:ascii="Tahoma" w:hAnsi="Tahoma" w:cs="Tahoma"/>
          <w:sz w:val="20"/>
          <w:szCs w:val="20"/>
        </w:rPr>
        <w:t>Así, también, cabe recalcar que de acuerdo a lo establecido por la norma aplicable, las controversias que surjan entre las partes sobre la ejecución, interpretación, resolución, inexistencia, ineficacia o invalidez del contrato se resolverán mediante conciliación y/o arbitraje, según el acuerdo de las partes, siendo que la parte que se tiene por afectada, tiene el derecho de solicitar su inicio</w:t>
      </w:r>
      <w:r w:rsidRPr="00076C20">
        <w:rPr>
          <w:rStyle w:val="Refdenotaalpie"/>
          <w:rFonts w:ascii="Tahoma" w:eastAsia="Calibri" w:hAnsi="Tahoma" w:cs="Tahoma"/>
          <w:sz w:val="20"/>
          <w:szCs w:val="20"/>
        </w:rPr>
        <w:footnoteReference w:id="6"/>
      </w:r>
      <w:r w:rsidRPr="00076C20">
        <w:rPr>
          <w:rFonts w:ascii="Tahoma" w:hAnsi="Tahoma" w:cs="Tahoma"/>
          <w:sz w:val="20"/>
          <w:szCs w:val="20"/>
        </w:rPr>
        <w:t>.  Entonces, considerando que la Entidad en su Informe № 03-2011-PCM/OGAJ-WVE, señaló que el Contratista no solicitó discutir la resolución del contrato dentro de los plazos establecidos en la norma conforme a su derecho, debe entenderse que la misma quedó consentida.</w:t>
      </w:r>
    </w:p>
    <w:p w:rsidR="00076C20" w:rsidRPr="00076C20" w:rsidRDefault="00076C20" w:rsidP="00076C20">
      <w:pPr>
        <w:pStyle w:val="Prrafodelista"/>
        <w:rPr>
          <w:rFonts w:ascii="Tahoma" w:hAnsi="Tahoma" w:cs="Tahoma"/>
        </w:rPr>
      </w:pPr>
    </w:p>
    <w:p w:rsidR="00076C20" w:rsidRPr="00076C20" w:rsidRDefault="00076C20" w:rsidP="00076C20">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076C20">
        <w:rPr>
          <w:rFonts w:ascii="Tahoma" w:hAnsi="Tahoma" w:cs="Tahoma"/>
          <w:sz w:val="20"/>
          <w:szCs w:val="20"/>
        </w:rPr>
        <w:t>Habiendo dilucidado el aspecto formal y procedimental de la resolución contractual bajo examen</w:t>
      </w:r>
      <w:r w:rsidRPr="00076C20">
        <w:rPr>
          <w:rFonts w:ascii="Tahoma" w:hAnsi="Tahoma" w:cs="Tahoma"/>
          <w:sz w:val="20"/>
          <w:szCs w:val="20"/>
          <w:lang w:val="es-PE"/>
        </w:rPr>
        <w:t xml:space="preserve">, corresponde determinar si el Contratista es responsable de dicha resolución por el incumplimiento injustificado de sus obligaciones contractuales, ya que </w:t>
      </w:r>
      <w:r w:rsidRPr="00076C20">
        <w:rPr>
          <w:rFonts w:ascii="Tahoma" w:hAnsi="Tahoma" w:cs="Tahoma"/>
          <w:sz w:val="20"/>
          <w:szCs w:val="20"/>
        </w:rPr>
        <w:t>en el supuesto de haberse producido por razones de caso fortuito o fuerza mayor, nos encontraríamos ante una causa justificante de la inejecución de las prestaciones a su cargo.</w:t>
      </w:r>
    </w:p>
    <w:p w:rsidR="00076C20" w:rsidRPr="00076C20" w:rsidRDefault="00076C20" w:rsidP="00076C20">
      <w:pPr>
        <w:pStyle w:val="Prrafodelista"/>
        <w:rPr>
          <w:rFonts w:ascii="Tahoma" w:hAnsi="Tahoma" w:cs="Tahoma"/>
        </w:rPr>
      </w:pPr>
    </w:p>
    <w:p w:rsidR="00076C20" w:rsidRPr="00076C20" w:rsidRDefault="00076C20" w:rsidP="00076C20">
      <w:pPr>
        <w:pStyle w:val="Prrafodelista"/>
        <w:numPr>
          <w:ilvl w:val="0"/>
          <w:numId w:val="4"/>
        </w:numPr>
        <w:ind w:left="567" w:hanging="567"/>
        <w:jc w:val="both"/>
        <w:rPr>
          <w:rFonts w:ascii="Tahoma" w:hAnsi="Tahoma" w:cs="Tahoma"/>
        </w:rPr>
      </w:pPr>
      <w:r w:rsidRPr="00076C20">
        <w:rPr>
          <w:rFonts w:ascii="Tahoma" w:hAnsi="Tahoma" w:cs="Tahoma"/>
        </w:rPr>
        <w:t xml:space="preserve">Así, pues, conforme a lo establecido en el artículo 49 de la Ley, los contratistas están obligados a cumplir cabalmente con lo ofrecido en su propuesta y en cualquier manifestación formal documentada, que hayan aportado adicionalmente en el curso del proceso de selección o en la formalización del contrato. En esta misma línea, el artículo 142 del Reglamento prevé que el contrato es obligatorio para las partes que lo suscriben. </w:t>
      </w:r>
    </w:p>
    <w:p w:rsidR="00076C20" w:rsidRPr="00076C20" w:rsidRDefault="00076C20" w:rsidP="00076C20">
      <w:pPr>
        <w:pStyle w:val="Prrafodelista"/>
        <w:ind w:left="567"/>
        <w:rPr>
          <w:rFonts w:ascii="Tahoma" w:hAnsi="Tahoma" w:cs="Tahoma"/>
        </w:rPr>
      </w:pPr>
    </w:p>
    <w:p w:rsidR="00076C20" w:rsidRPr="00076C20" w:rsidRDefault="00076C20" w:rsidP="00076C20">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076C20">
        <w:rPr>
          <w:rFonts w:ascii="Tahoma" w:hAnsi="Tahoma" w:cs="Tahoma"/>
          <w:sz w:val="20"/>
          <w:szCs w:val="20"/>
        </w:rPr>
        <w:t>Ahora bien, la Entidad con ocasión a la denuncia efectuada contra el Contratista informó que éste, pese a haber tomado conocimiento de las observaciones planteadas por la Entidad, referidas al incumplimiento de sus obligaciones contractuales, no habría cumplido con internar los bienes de acuerdo a las especificaciones técnicas materializadas en la Orden de Compra № 365, hecho que ha desencadenado la resolución de la misma.</w:t>
      </w:r>
    </w:p>
    <w:p w:rsidR="00076C20" w:rsidRPr="00076C20" w:rsidRDefault="00076C20" w:rsidP="00076C20">
      <w:pPr>
        <w:pStyle w:val="Textoindependiente"/>
        <w:widowControl w:val="0"/>
        <w:suppressAutoHyphens/>
        <w:ind w:left="567"/>
        <w:rPr>
          <w:rFonts w:ascii="Tahoma" w:hAnsi="Tahoma" w:cs="Tahoma"/>
          <w:sz w:val="20"/>
          <w:szCs w:val="20"/>
        </w:rPr>
      </w:pPr>
    </w:p>
    <w:p w:rsidR="00076C20" w:rsidRDefault="00076C20" w:rsidP="00076C20">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076C20">
        <w:rPr>
          <w:rFonts w:ascii="Tahoma" w:hAnsi="Tahoma" w:cs="Tahoma"/>
          <w:sz w:val="20"/>
          <w:szCs w:val="20"/>
        </w:rPr>
        <w:t xml:space="preserve">Sobre la base de lo expuesto, y en virtud al derecho de defensa que ampara a los administrados, el Contratista ha esgrimido tres argumentos centrales de defensa. Así, </w:t>
      </w:r>
      <w:r w:rsidRPr="00076C20">
        <w:rPr>
          <w:rFonts w:ascii="Tahoma" w:hAnsi="Tahoma" w:cs="Tahoma"/>
          <w:i/>
          <w:sz w:val="20"/>
          <w:szCs w:val="20"/>
        </w:rPr>
        <w:t>en primer orden</w:t>
      </w:r>
      <w:r w:rsidRPr="00076C20">
        <w:rPr>
          <w:rFonts w:ascii="Tahoma" w:hAnsi="Tahoma" w:cs="Tahoma"/>
          <w:sz w:val="20"/>
          <w:szCs w:val="20"/>
        </w:rPr>
        <w:t xml:space="preserve">, ha manifestado que de manera oportuna remitió el Oficio № 03-2010-DG-CESP el 04 de septiembre de 2010, mediante el cual comunicó a la Entidad que las cinco (5) computadoras a entregar contenían partes (CPU, teclado, monitor) de diferentes marcas de empresas (Foxconn, Genius y Hyundai), siendo éstas consorciadas, lo cual no tuvo observación alguna por la Entidad, más aún si fueron recibidas por el responsable del Almacén de la Entidad a entera satisfacción; </w:t>
      </w:r>
      <w:r w:rsidRPr="00076C20">
        <w:rPr>
          <w:rFonts w:ascii="Tahoma" w:hAnsi="Tahoma" w:cs="Tahoma"/>
          <w:i/>
          <w:sz w:val="20"/>
          <w:szCs w:val="20"/>
        </w:rPr>
        <w:t>en segundo lugar</w:t>
      </w:r>
      <w:r w:rsidRPr="00076C20">
        <w:rPr>
          <w:rFonts w:ascii="Tahoma" w:hAnsi="Tahoma" w:cs="Tahoma"/>
          <w:sz w:val="20"/>
          <w:szCs w:val="20"/>
        </w:rPr>
        <w:t xml:space="preserve">, ha señalado que las especificaciones técnicas solicitadas en las Bases, fueron cumplidas en su mayoría, siendo que las observaciones realizadas por la Entidad sólo obedecen a que los componentes de las computadoras debían ser de la misma marca; y </w:t>
      </w:r>
      <w:r w:rsidRPr="00076C20">
        <w:rPr>
          <w:rFonts w:ascii="Tahoma" w:hAnsi="Tahoma" w:cs="Tahoma"/>
          <w:i/>
          <w:sz w:val="20"/>
          <w:szCs w:val="20"/>
        </w:rPr>
        <w:t>en tercer orden</w:t>
      </w:r>
      <w:r w:rsidRPr="00076C20">
        <w:rPr>
          <w:rFonts w:ascii="Tahoma" w:hAnsi="Tahoma" w:cs="Tahoma"/>
          <w:sz w:val="20"/>
          <w:szCs w:val="20"/>
        </w:rPr>
        <w:t>, el Contratista manifestó que lo requerido por la Entidad, referido al Certificado de Licencia Microsoft, así como el CD de recuperación de S.O. no fueron solicitados en las especificaciones técnicas de las Bases, razón por la cual, la resolución del contrato no debió ser total sino parcial.</w:t>
      </w:r>
    </w:p>
    <w:p w:rsidR="00076C20" w:rsidRDefault="00076C20" w:rsidP="00076C20">
      <w:pPr>
        <w:pStyle w:val="Textoindependiente"/>
        <w:widowControl w:val="0"/>
        <w:suppressAutoHyphens/>
        <w:spacing w:after="0"/>
        <w:ind w:left="567"/>
        <w:jc w:val="both"/>
        <w:rPr>
          <w:rFonts w:ascii="Tahoma" w:hAnsi="Tahoma" w:cs="Tahoma"/>
          <w:sz w:val="20"/>
          <w:szCs w:val="20"/>
        </w:rPr>
      </w:pPr>
    </w:p>
    <w:p w:rsidR="00076C20" w:rsidRPr="00076C20" w:rsidRDefault="00076C20" w:rsidP="00076C20">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076C20">
        <w:rPr>
          <w:rFonts w:ascii="Tahoma" w:hAnsi="Tahoma" w:cs="Tahoma"/>
          <w:sz w:val="20"/>
          <w:szCs w:val="20"/>
        </w:rPr>
        <w:t xml:space="preserve">En cuanto al primer argumento esbozado por el Contratista, resulta necesario tener en consideración que el objeto de la Orden de Compra № 365 de fecha 31 de agosto de 2010, era la adquisición de cinco (5) computadoras tipo III para el Proyecto de Inversión Pública Fortalecimiento del Parque Informático de la Entidad. Así, pues, en la citada orden de compra </w:t>
      </w:r>
      <w:r w:rsidRPr="00076C20">
        <w:rPr>
          <w:rFonts w:ascii="Tahoma" w:hAnsi="Tahoma" w:cs="Tahoma"/>
          <w:i/>
          <w:sz w:val="20"/>
          <w:szCs w:val="20"/>
        </w:rPr>
        <w:t>–recepcionada por el Contratista el 03 de septiembre de 2009</w:t>
      </w:r>
      <w:r w:rsidRPr="00076C20">
        <w:rPr>
          <w:rFonts w:ascii="Tahoma" w:hAnsi="Tahoma" w:cs="Tahoma"/>
          <w:sz w:val="20"/>
          <w:szCs w:val="20"/>
        </w:rPr>
        <w:t>– se consignó las especificaciones técnicas y requerimientos mínimos que deberían contener los bienes a internar por parte del Contratista, de acuerdo a lo estipulado en las Bases Administrativas de la Adjudicación de Menor cuantía № 020-2010-PCM, según el siguiente detalle:</w:t>
      </w:r>
    </w:p>
    <w:p w:rsidR="00076C20" w:rsidRPr="00076C20" w:rsidRDefault="00076C20" w:rsidP="00076C20">
      <w:pPr>
        <w:pStyle w:val="Prrafodelista"/>
        <w:rPr>
          <w:rFonts w:ascii="Tahoma" w:hAnsi="Tahoma" w:cs="Tahoma"/>
        </w:rPr>
      </w:pPr>
    </w:p>
    <w:p w:rsidR="00076C20" w:rsidRPr="00076C20" w:rsidRDefault="001B4BA2" w:rsidP="00076C20">
      <w:pPr>
        <w:pStyle w:val="Textoindependiente"/>
        <w:widowControl w:val="0"/>
        <w:suppressAutoHyphens/>
        <w:rPr>
          <w:rFonts w:ascii="Tahoma" w:hAnsi="Tahoma" w:cs="Tahoma"/>
          <w:sz w:val="20"/>
          <w:szCs w:val="20"/>
        </w:rPr>
      </w:pPr>
      <w:r w:rsidRPr="001B4BA2">
        <w:rPr>
          <w:rFonts w:ascii="Tahoma" w:hAnsi="Tahoma" w:cs="Tahoma"/>
          <w:noProof/>
          <w:sz w:val="20"/>
          <w:szCs w:val="20"/>
          <w:lang w:val="es-ES_tradnl" w:eastAsia="en-US"/>
        </w:rPr>
        <w:pict>
          <v:rect id="_x0000_s1026" style="position:absolute;margin-left:61.2pt;margin-top:4.8pt;width:337.5pt;height:252.2pt;z-index:251660288">
            <v:textbox style="mso-next-textbox:#_x0000_s1026">
              <w:txbxContent>
                <w:p w:rsidR="00076C20" w:rsidRPr="007A7CA2" w:rsidRDefault="00076C20" w:rsidP="00076C20">
                  <w:pPr>
                    <w:pStyle w:val="WW-Textosinformato"/>
                    <w:tabs>
                      <w:tab w:val="left" w:pos="318"/>
                      <w:tab w:val="left" w:pos="709"/>
                      <w:tab w:val="center" w:pos="6953"/>
                      <w:tab w:val="right" w:pos="11372"/>
                    </w:tabs>
                    <w:spacing w:line="240" w:lineRule="exact"/>
                    <w:ind w:left="318"/>
                    <w:jc w:val="center"/>
                    <w:rPr>
                      <w:rFonts w:ascii="Tahoma" w:hAnsi="Tahoma" w:cs="Tahoma"/>
                      <w:b/>
                      <w:sz w:val="18"/>
                      <w:szCs w:val="18"/>
                      <w:u w:val="single"/>
                      <w:lang w:val="es-ES_tradnl"/>
                    </w:rPr>
                  </w:pPr>
                  <w:r w:rsidRPr="007A7CA2">
                    <w:rPr>
                      <w:rFonts w:ascii="Tahoma" w:hAnsi="Tahoma" w:cs="Tahoma"/>
                      <w:b/>
                      <w:sz w:val="18"/>
                      <w:szCs w:val="18"/>
                      <w:u w:val="single"/>
                      <w:lang w:val="es-ES_tradnl"/>
                    </w:rPr>
                    <w:t>CAPÍTULO III</w:t>
                  </w:r>
                </w:p>
                <w:p w:rsidR="00076C20" w:rsidRPr="007A7CA2" w:rsidRDefault="00076C20" w:rsidP="00076C20">
                  <w:pPr>
                    <w:pStyle w:val="WW-Textosinformato"/>
                    <w:tabs>
                      <w:tab w:val="left" w:pos="318"/>
                      <w:tab w:val="left" w:pos="709"/>
                      <w:tab w:val="center" w:pos="6953"/>
                      <w:tab w:val="right" w:pos="11372"/>
                    </w:tabs>
                    <w:spacing w:line="240" w:lineRule="exact"/>
                    <w:ind w:left="318"/>
                    <w:jc w:val="center"/>
                    <w:rPr>
                      <w:rFonts w:ascii="Tahoma" w:hAnsi="Tahoma" w:cs="Tahoma"/>
                      <w:b/>
                      <w:sz w:val="18"/>
                      <w:szCs w:val="18"/>
                      <w:lang w:val="es-ES_tradnl"/>
                    </w:rPr>
                  </w:pPr>
                </w:p>
                <w:p w:rsidR="00076C20" w:rsidRPr="007A7CA2" w:rsidRDefault="00076C20" w:rsidP="00076C20">
                  <w:pPr>
                    <w:pStyle w:val="WW-Textosinformato"/>
                    <w:tabs>
                      <w:tab w:val="left" w:pos="318"/>
                      <w:tab w:val="center" w:pos="6953"/>
                      <w:tab w:val="right" w:pos="11372"/>
                    </w:tabs>
                    <w:spacing w:line="240" w:lineRule="exact"/>
                    <w:ind w:left="318"/>
                    <w:jc w:val="center"/>
                    <w:rPr>
                      <w:rFonts w:ascii="Tahoma" w:hAnsi="Tahoma" w:cs="Tahoma"/>
                      <w:b/>
                      <w:sz w:val="18"/>
                      <w:szCs w:val="18"/>
                      <w:lang w:val="es-ES_tradnl"/>
                    </w:rPr>
                  </w:pPr>
                  <w:r w:rsidRPr="007A7CA2">
                    <w:rPr>
                      <w:rFonts w:ascii="Tahoma" w:hAnsi="Tahoma" w:cs="Tahoma"/>
                      <w:b/>
                      <w:sz w:val="18"/>
                      <w:szCs w:val="18"/>
                      <w:lang w:val="es-ES_tradnl"/>
                    </w:rPr>
                    <w:t xml:space="preserve">ESPECIFICACIONES TÉCNICAS Y REQUERIMIENTOS TÉCNICOS MÍNIMOS </w:t>
                  </w:r>
                </w:p>
                <w:p w:rsidR="00076C20" w:rsidRPr="007A7CA2" w:rsidRDefault="00076C20" w:rsidP="00076C20">
                  <w:pPr>
                    <w:widowControl w:val="0"/>
                    <w:tabs>
                      <w:tab w:val="left" w:pos="318"/>
                    </w:tabs>
                    <w:adjustRightInd w:val="0"/>
                    <w:spacing w:line="240" w:lineRule="exact"/>
                    <w:ind w:left="318"/>
                    <w:textAlignment w:val="baseline"/>
                    <w:rPr>
                      <w:rFonts w:cs="Tahoma"/>
                      <w:sz w:val="18"/>
                      <w:szCs w:val="18"/>
                      <w:lang w:val="es-ES_tradnl"/>
                    </w:rPr>
                  </w:pPr>
                  <w:r w:rsidRPr="007A7CA2">
                    <w:rPr>
                      <w:rFonts w:cs="Tahoma"/>
                      <w:sz w:val="18"/>
                      <w:szCs w:val="18"/>
                      <w:lang w:val="es-ES_tradnl"/>
                    </w:rPr>
                    <w:t>Cantidad: 05</w:t>
                  </w:r>
                </w:p>
                <w:p w:rsidR="00076C20" w:rsidRPr="007A7CA2" w:rsidRDefault="00076C20" w:rsidP="00076C20">
                  <w:pPr>
                    <w:widowControl w:val="0"/>
                    <w:tabs>
                      <w:tab w:val="left" w:pos="318"/>
                    </w:tabs>
                    <w:adjustRightInd w:val="0"/>
                    <w:spacing w:line="240" w:lineRule="exact"/>
                    <w:ind w:left="318"/>
                    <w:textAlignment w:val="baseline"/>
                    <w:rPr>
                      <w:rFonts w:cs="Tahoma"/>
                      <w:sz w:val="18"/>
                      <w:szCs w:val="18"/>
                      <w:lang w:val="es-ES_tradnl"/>
                    </w:rPr>
                  </w:pPr>
                </w:p>
                <w:tbl>
                  <w:tblPr>
                    <w:tblStyle w:val="Tablaconcuadrcula"/>
                    <w:tblW w:w="0" w:type="auto"/>
                    <w:tblInd w:w="675" w:type="dxa"/>
                    <w:tblLook w:val="04A0"/>
                  </w:tblPr>
                  <w:tblGrid>
                    <w:gridCol w:w="1418"/>
                    <w:gridCol w:w="3969"/>
                  </w:tblGrid>
                  <w:tr w:rsidR="00076C20" w:rsidRPr="007A7CA2" w:rsidTr="007A7CA2">
                    <w:tc>
                      <w:tcPr>
                        <w:tcW w:w="1418" w:type="dxa"/>
                      </w:tcPr>
                      <w:p w:rsidR="00076C20" w:rsidRPr="007A7CA2" w:rsidRDefault="00076C20" w:rsidP="00FE63CB">
                        <w:pPr>
                          <w:widowControl w:val="0"/>
                          <w:tabs>
                            <w:tab w:val="left" w:pos="318"/>
                          </w:tabs>
                          <w:adjustRightInd w:val="0"/>
                          <w:spacing w:line="240" w:lineRule="exact"/>
                          <w:textAlignment w:val="baseline"/>
                          <w:rPr>
                            <w:rFonts w:cs="Tahoma"/>
                            <w:sz w:val="18"/>
                            <w:szCs w:val="18"/>
                            <w:lang w:val="es-ES_tradnl"/>
                          </w:rPr>
                        </w:pPr>
                        <w:r w:rsidRPr="007A7CA2">
                          <w:rPr>
                            <w:rFonts w:cs="Tahoma"/>
                            <w:sz w:val="18"/>
                            <w:szCs w:val="18"/>
                            <w:lang w:val="es-ES_tradnl"/>
                          </w:rPr>
                          <w:t>Tipo de chasis</w:t>
                        </w:r>
                      </w:p>
                    </w:tc>
                    <w:tc>
                      <w:tcPr>
                        <w:tcW w:w="3969" w:type="dxa"/>
                      </w:tcPr>
                      <w:p w:rsidR="00076C20" w:rsidRPr="007A7CA2" w:rsidRDefault="00076C20" w:rsidP="00FE63CB">
                        <w:pPr>
                          <w:widowControl w:val="0"/>
                          <w:tabs>
                            <w:tab w:val="left" w:pos="318"/>
                          </w:tabs>
                          <w:adjustRightInd w:val="0"/>
                          <w:spacing w:line="240" w:lineRule="exact"/>
                          <w:textAlignment w:val="baseline"/>
                          <w:rPr>
                            <w:rFonts w:cs="Tahoma"/>
                            <w:sz w:val="18"/>
                            <w:szCs w:val="18"/>
                            <w:lang w:val="es-ES_tradnl"/>
                          </w:rPr>
                        </w:pPr>
                        <w:r w:rsidRPr="007A7CA2">
                          <w:rPr>
                            <w:rFonts w:cs="Tahoma"/>
                            <w:sz w:val="18"/>
                            <w:szCs w:val="18"/>
                            <w:lang w:val="es-ES_tradnl"/>
                          </w:rPr>
                          <w:t>Minitorre/desktop/Sam Form</w:t>
                        </w:r>
                      </w:p>
                    </w:tc>
                  </w:tr>
                  <w:tr w:rsidR="00076C20" w:rsidRPr="007A7CA2" w:rsidTr="007A7CA2">
                    <w:tc>
                      <w:tcPr>
                        <w:tcW w:w="1418" w:type="dxa"/>
                      </w:tcPr>
                      <w:p w:rsidR="00076C20" w:rsidRPr="007A7CA2" w:rsidRDefault="00076C20" w:rsidP="00FE63CB">
                        <w:pPr>
                          <w:widowControl w:val="0"/>
                          <w:tabs>
                            <w:tab w:val="left" w:pos="318"/>
                          </w:tabs>
                          <w:adjustRightInd w:val="0"/>
                          <w:spacing w:line="240" w:lineRule="exact"/>
                          <w:textAlignment w:val="baseline"/>
                          <w:rPr>
                            <w:rFonts w:cs="Tahoma"/>
                            <w:sz w:val="18"/>
                            <w:szCs w:val="18"/>
                            <w:lang w:val="es-ES_tradnl"/>
                          </w:rPr>
                        </w:pPr>
                        <w:r w:rsidRPr="007A7CA2">
                          <w:rPr>
                            <w:rFonts w:cs="Tahoma"/>
                            <w:sz w:val="18"/>
                            <w:szCs w:val="18"/>
                            <w:lang w:val="es-ES_tradnl"/>
                          </w:rPr>
                          <w:t>Procesador</w:t>
                        </w:r>
                      </w:p>
                    </w:tc>
                    <w:tc>
                      <w:tcPr>
                        <w:tcW w:w="3969" w:type="dxa"/>
                      </w:tcPr>
                      <w:p w:rsidR="00076C20" w:rsidRPr="007A7CA2" w:rsidRDefault="00076C20" w:rsidP="00FE63CB">
                        <w:pPr>
                          <w:widowControl w:val="0"/>
                          <w:tabs>
                            <w:tab w:val="left" w:pos="318"/>
                          </w:tabs>
                          <w:adjustRightInd w:val="0"/>
                          <w:spacing w:line="240" w:lineRule="exact"/>
                          <w:textAlignment w:val="baseline"/>
                          <w:rPr>
                            <w:rFonts w:cs="Tahoma"/>
                            <w:sz w:val="18"/>
                            <w:szCs w:val="18"/>
                            <w:lang w:val="es-ES_tradnl"/>
                          </w:rPr>
                        </w:pPr>
                        <w:r w:rsidRPr="007A7CA2">
                          <w:rPr>
                            <w:rFonts w:cs="Tahoma"/>
                            <w:sz w:val="18"/>
                            <w:szCs w:val="18"/>
                            <w:lang w:val="es-ES_tradnl"/>
                          </w:rPr>
                          <w:t xml:space="preserve">Intel Core 2 Duo (3.0 GHz) </w:t>
                        </w:r>
                      </w:p>
                    </w:tc>
                  </w:tr>
                  <w:tr w:rsidR="00076C20" w:rsidRPr="007A7CA2" w:rsidTr="007A7CA2">
                    <w:tc>
                      <w:tcPr>
                        <w:tcW w:w="1418" w:type="dxa"/>
                      </w:tcPr>
                      <w:p w:rsidR="00076C20" w:rsidRPr="007A7CA2" w:rsidRDefault="00076C20" w:rsidP="00FE63CB">
                        <w:pPr>
                          <w:widowControl w:val="0"/>
                          <w:tabs>
                            <w:tab w:val="left" w:pos="318"/>
                          </w:tabs>
                          <w:adjustRightInd w:val="0"/>
                          <w:spacing w:line="240" w:lineRule="exact"/>
                          <w:textAlignment w:val="baseline"/>
                          <w:rPr>
                            <w:rFonts w:cs="Tahoma"/>
                            <w:sz w:val="18"/>
                            <w:szCs w:val="18"/>
                            <w:lang w:val="es-ES_tradnl"/>
                          </w:rPr>
                        </w:pPr>
                        <w:r w:rsidRPr="007A7CA2">
                          <w:rPr>
                            <w:rFonts w:cs="Tahoma"/>
                            <w:sz w:val="18"/>
                            <w:szCs w:val="18"/>
                            <w:lang w:val="es-ES_tradnl"/>
                          </w:rPr>
                          <w:t>(…)</w:t>
                        </w:r>
                      </w:p>
                    </w:tc>
                    <w:tc>
                      <w:tcPr>
                        <w:tcW w:w="3969" w:type="dxa"/>
                      </w:tcPr>
                      <w:p w:rsidR="00076C20" w:rsidRPr="007A7CA2" w:rsidRDefault="00076C20" w:rsidP="00FE63CB">
                        <w:pPr>
                          <w:widowControl w:val="0"/>
                          <w:tabs>
                            <w:tab w:val="left" w:pos="318"/>
                          </w:tabs>
                          <w:adjustRightInd w:val="0"/>
                          <w:spacing w:line="240" w:lineRule="exact"/>
                          <w:textAlignment w:val="baseline"/>
                          <w:rPr>
                            <w:rFonts w:cs="Tahoma"/>
                            <w:sz w:val="18"/>
                            <w:szCs w:val="18"/>
                            <w:lang w:val="es-ES_tradnl"/>
                          </w:rPr>
                        </w:pPr>
                      </w:p>
                    </w:tc>
                  </w:tr>
                  <w:tr w:rsidR="00076C20" w:rsidRPr="007A7CA2" w:rsidTr="007A7CA2">
                    <w:tc>
                      <w:tcPr>
                        <w:tcW w:w="1418" w:type="dxa"/>
                      </w:tcPr>
                      <w:p w:rsidR="00076C20" w:rsidRPr="007A7CA2" w:rsidRDefault="00076C20" w:rsidP="00FE63CB">
                        <w:pPr>
                          <w:widowControl w:val="0"/>
                          <w:tabs>
                            <w:tab w:val="left" w:pos="318"/>
                          </w:tabs>
                          <w:adjustRightInd w:val="0"/>
                          <w:spacing w:line="240" w:lineRule="exact"/>
                          <w:textAlignment w:val="baseline"/>
                          <w:rPr>
                            <w:rFonts w:cs="Tahoma"/>
                            <w:sz w:val="18"/>
                            <w:szCs w:val="18"/>
                            <w:lang w:val="es-ES_tradnl"/>
                          </w:rPr>
                        </w:pPr>
                        <w:r w:rsidRPr="007A7CA2">
                          <w:rPr>
                            <w:rFonts w:cs="Tahoma"/>
                            <w:sz w:val="18"/>
                            <w:szCs w:val="18"/>
                            <w:lang w:val="es-ES_tradnl"/>
                          </w:rPr>
                          <w:t>Software pre instalado</w:t>
                        </w:r>
                      </w:p>
                    </w:tc>
                    <w:tc>
                      <w:tcPr>
                        <w:tcW w:w="3969" w:type="dxa"/>
                      </w:tcPr>
                      <w:p w:rsidR="00076C20" w:rsidRPr="00E11A39" w:rsidRDefault="00076C20" w:rsidP="00FE63CB">
                        <w:pPr>
                          <w:widowControl w:val="0"/>
                          <w:tabs>
                            <w:tab w:val="left" w:pos="318"/>
                          </w:tabs>
                          <w:adjustRightInd w:val="0"/>
                          <w:spacing w:line="240" w:lineRule="exact"/>
                          <w:textAlignment w:val="baseline"/>
                          <w:rPr>
                            <w:rFonts w:cs="Tahoma"/>
                            <w:b/>
                            <w:sz w:val="18"/>
                            <w:szCs w:val="18"/>
                            <w:lang w:val="es-ES_tradnl"/>
                          </w:rPr>
                        </w:pPr>
                        <w:r w:rsidRPr="00E11A39">
                          <w:rPr>
                            <w:rFonts w:cs="Tahoma"/>
                            <w:b/>
                            <w:sz w:val="18"/>
                            <w:szCs w:val="18"/>
                            <w:lang w:val="es-ES_tradnl"/>
                          </w:rPr>
                          <w:t>Microsoft Office Bussiness 2007 OEM en español, con las licencias respectivas.</w:t>
                        </w:r>
                      </w:p>
                    </w:tc>
                  </w:tr>
                  <w:tr w:rsidR="00076C20" w:rsidRPr="007A7CA2" w:rsidTr="007A7CA2">
                    <w:tc>
                      <w:tcPr>
                        <w:tcW w:w="1418" w:type="dxa"/>
                      </w:tcPr>
                      <w:p w:rsidR="00076C20" w:rsidRPr="007A7CA2" w:rsidRDefault="00076C20" w:rsidP="00A221CA">
                        <w:pPr>
                          <w:widowControl w:val="0"/>
                          <w:tabs>
                            <w:tab w:val="left" w:pos="318"/>
                          </w:tabs>
                          <w:adjustRightInd w:val="0"/>
                          <w:spacing w:line="240" w:lineRule="exact"/>
                          <w:textAlignment w:val="baseline"/>
                          <w:rPr>
                            <w:rFonts w:cs="Tahoma"/>
                            <w:sz w:val="18"/>
                            <w:szCs w:val="18"/>
                            <w:lang w:val="es-ES_tradnl"/>
                          </w:rPr>
                        </w:pPr>
                        <w:r w:rsidRPr="007A7CA2">
                          <w:rPr>
                            <w:rFonts w:cs="Tahoma"/>
                            <w:sz w:val="18"/>
                            <w:szCs w:val="18"/>
                            <w:lang w:val="es-ES_tradnl"/>
                          </w:rPr>
                          <w:t xml:space="preserve">Otros </w:t>
                        </w:r>
                      </w:p>
                    </w:tc>
                    <w:tc>
                      <w:tcPr>
                        <w:tcW w:w="3969" w:type="dxa"/>
                      </w:tcPr>
                      <w:p w:rsidR="00076C20" w:rsidRPr="007A7CA2" w:rsidRDefault="00076C20" w:rsidP="00076C20">
                        <w:pPr>
                          <w:pStyle w:val="Prrafodelista"/>
                          <w:widowControl w:val="0"/>
                          <w:numPr>
                            <w:ilvl w:val="0"/>
                            <w:numId w:val="30"/>
                          </w:numPr>
                          <w:tabs>
                            <w:tab w:val="left" w:pos="176"/>
                          </w:tabs>
                          <w:adjustRightInd w:val="0"/>
                          <w:spacing w:line="240" w:lineRule="exact"/>
                          <w:ind w:hanging="720"/>
                          <w:contextualSpacing w:val="0"/>
                          <w:jc w:val="both"/>
                          <w:textAlignment w:val="baseline"/>
                          <w:rPr>
                            <w:rFonts w:cs="Tahoma"/>
                            <w:sz w:val="18"/>
                            <w:szCs w:val="18"/>
                            <w:lang w:val="es-ES_tradnl"/>
                          </w:rPr>
                        </w:pPr>
                        <w:r w:rsidRPr="007A7CA2">
                          <w:rPr>
                            <w:rFonts w:cs="Tahoma"/>
                            <w:sz w:val="18"/>
                            <w:szCs w:val="18"/>
                            <w:lang w:val="es-ES_tradnl"/>
                          </w:rPr>
                          <w:t>Los equipos ofertados deberán ser nuevos.</w:t>
                        </w:r>
                      </w:p>
                      <w:p w:rsidR="00076C20" w:rsidRPr="007A7CA2" w:rsidRDefault="00076C20" w:rsidP="00076C20">
                        <w:pPr>
                          <w:pStyle w:val="Prrafodelista"/>
                          <w:widowControl w:val="0"/>
                          <w:numPr>
                            <w:ilvl w:val="0"/>
                            <w:numId w:val="30"/>
                          </w:numPr>
                          <w:tabs>
                            <w:tab w:val="left" w:pos="0"/>
                          </w:tabs>
                          <w:adjustRightInd w:val="0"/>
                          <w:spacing w:line="240" w:lineRule="exact"/>
                          <w:ind w:left="175" w:hanging="175"/>
                          <w:contextualSpacing w:val="0"/>
                          <w:jc w:val="both"/>
                          <w:textAlignment w:val="baseline"/>
                          <w:rPr>
                            <w:rFonts w:cs="Tahoma"/>
                            <w:sz w:val="18"/>
                            <w:szCs w:val="18"/>
                            <w:lang w:val="es-ES_tradnl"/>
                          </w:rPr>
                        </w:pPr>
                        <w:r w:rsidRPr="007A7CA2">
                          <w:rPr>
                            <w:rFonts w:cs="Tahoma"/>
                            <w:sz w:val="18"/>
                            <w:szCs w:val="18"/>
                            <w:lang w:val="es-ES_tradnl"/>
                          </w:rPr>
                          <w:t>Compatibilidad con 32 bits</w:t>
                        </w:r>
                      </w:p>
                      <w:p w:rsidR="00076C20" w:rsidRPr="007A7CA2" w:rsidRDefault="00076C20" w:rsidP="00076C20">
                        <w:pPr>
                          <w:pStyle w:val="Prrafodelista"/>
                          <w:widowControl w:val="0"/>
                          <w:numPr>
                            <w:ilvl w:val="0"/>
                            <w:numId w:val="30"/>
                          </w:numPr>
                          <w:tabs>
                            <w:tab w:val="left" w:pos="0"/>
                          </w:tabs>
                          <w:adjustRightInd w:val="0"/>
                          <w:spacing w:line="240" w:lineRule="exact"/>
                          <w:ind w:left="175" w:hanging="175"/>
                          <w:contextualSpacing w:val="0"/>
                          <w:jc w:val="both"/>
                          <w:textAlignment w:val="baseline"/>
                          <w:rPr>
                            <w:rFonts w:cs="Tahoma"/>
                            <w:sz w:val="18"/>
                            <w:szCs w:val="18"/>
                            <w:lang w:val="es-ES_tradnl"/>
                          </w:rPr>
                        </w:pPr>
                        <w:r w:rsidRPr="007A7CA2">
                          <w:rPr>
                            <w:rFonts w:cs="Tahoma"/>
                            <w:sz w:val="18"/>
                            <w:szCs w:val="18"/>
                            <w:lang w:val="es-ES_tradnl"/>
                          </w:rPr>
                          <w:t>La computadora de escritorio debe funcionar a 220v</w:t>
                        </w:r>
                      </w:p>
                      <w:p w:rsidR="00076C20" w:rsidRDefault="00076C20" w:rsidP="00076C20">
                        <w:pPr>
                          <w:pStyle w:val="Prrafodelista"/>
                          <w:widowControl w:val="0"/>
                          <w:numPr>
                            <w:ilvl w:val="0"/>
                            <w:numId w:val="30"/>
                          </w:numPr>
                          <w:tabs>
                            <w:tab w:val="left" w:pos="0"/>
                          </w:tabs>
                          <w:adjustRightInd w:val="0"/>
                          <w:spacing w:line="240" w:lineRule="exact"/>
                          <w:ind w:left="175" w:hanging="175"/>
                          <w:contextualSpacing w:val="0"/>
                          <w:jc w:val="both"/>
                          <w:textAlignment w:val="baseline"/>
                          <w:rPr>
                            <w:rFonts w:cs="Tahoma"/>
                            <w:sz w:val="18"/>
                            <w:szCs w:val="18"/>
                            <w:lang w:val="es-ES_tradnl"/>
                          </w:rPr>
                        </w:pPr>
                        <w:r w:rsidRPr="007A7CA2">
                          <w:rPr>
                            <w:rFonts w:cs="Tahoma"/>
                            <w:b/>
                            <w:sz w:val="18"/>
                            <w:szCs w:val="18"/>
                            <w:u w:val="single"/>
                            <w:lang w:val="es-ES_tradnl"/>
                          </w:rPr>
                          <w:t>Los componentes de la computadora de escritorio (CPU, Monitor, Teclado y Mouse) deben ser de la misma marca</w:t>
                        </w:r>
                        <w:r w:rsidRPr="007A7CA2">
                          <w:rPr>
                            <w:rFonts w:cs="Tahoma"/>
                            <w:sz w:val="18"/>
                            <w:szCs w:val="18"/>
                            <w:lang w:val="es-ES_tradnl"/>
                          </w:rPr>
                          <w:t>.</w:t>
                        </w:r>
                      </w:p>
                      <w:p w:rsidR="00076C20" w:rsidRPr="007A7CA2" w:rsidRDefault="00076C20" w:rsidP="007A7CA2">
                        <w:pPr>
                          <w:pStyle w:val="Prrafodelista"/>
                          <w:widowControl w:val="0"/>
                          <w:tabs>
                            <w:tab w:val="left" w:pos="0"/>
                          </w:tabs>
                          <w:adjustRightInd w:val="0"/>
                          <w:spacing w:line="240" w:lineRule="exact"/>
                          <w:ind w:left="175"/>
                          <w:textAlignment w:val="baseline"/>
                          <w:rPr>
                            <w:rFonts w:cs="Tahoma"/>
                            <w:sz w:val="18"/>
                            <w:szCs w:val="18"/>
                            <w:lang w:val="es-ES_tradnl"/>
                          </w:rPr>
                        </w:pPr>
                      </w:p>
                    </w:tc>
                  </w:tr>
                </w:tbl>
                <w:p w:rsidR="00076C20" w:rsidRPr="005D5A57" w:rsidRDefault="00076C20" w:rsidP="00076C20">
                  <w:pPr>
                    <w:pStyle w:val="Sinespaciado"/>
                    <w:jc w:val="both"/>
                    <w:rPr>
                      <w:rFonts w:ascii="Tahoma" w:hAnsi="Tahoma" w:cs="Tahoma"/>
                      <w:sz w:val="19"/>
                      <w:szCs w:val="19"/>
                    </w:rPr>
                  </w:pPr>
                  <w:r>
                    <w:rPr>
                      <w:rFonts w:ascii="Tahoma" w:hAnsi="Tahoma" w:cs="Tahoma"/>
                      <w:i/>
                      <w:sz w:val="19"/>
                      <w:szCs w:val="19"/>
                    </w:rPr>
                    <w:t>(E</w:t>
                  </w:r>
                  <w:r w:rsidRPr="005D5A57">
                    <w:rPr>
                      <w:rFonts w:ascii="Tahoma" w:hAnsi="Tahoma" w:cs="Tahoma"/>
                      <w:i/>
                      <w:sz w:val="19"/>
                      <w:szCs w:val="19"/>
                    </w:rPr>
                    <w:t>l negrita es nuestro</w:t>
                  </w:r>
                  <w:r w:rsidRPr="005D5A57">
                    <w:rPr>
                      <w:rFonts w:ascii="Tahoma" w:hAnsi="Tahoma" w:cs="Tahoma"/>
                      <w:sz w:val="19"/>
                      <w:szCs w:val="19"/>
                    </w:rPr>
                    <w:t>)</w:t>
                  </w:r>
                </w:p>
                <w:p w:rsidR="00076C20" w:rsidRPr="007A7CA2" w:rsidRDefault="00076C20" w:rsidP="00076C20">
                  <w:pPr>
                    <w:widowControl w:val="0"/>
                    <w:tabs>
                      <w:tab w:val="left" w:pos="318"/>
                    </w:tabs>
                    <w:adjustRightInd w:val="0"/>
                    <w:spacing w:line="240" w:lineRule="exact"/>
                    <w:ind w:left="318"/>
                    <w:textAlignment w:val="baseline"/>
                    <w:rPr>
                      <w:rFonts w:cs="Tahoma"/>
                      <w:sz w:val="16"/>
                      <w:szCs w:val="16"/>
                    </w:rPr>
                  </w:pPr>
                </w:p>
                <w:p w:rsidR="00076C20" w:rsidRDefault="00076C20" w:rsidP="00076C20">
                  <w:pPr>
                    <w:widowControl w:val="0"/>
                    <w:tabs>
                      <w:tab w:val="left" w:pos="318"/>
                    </w:tabs>
                    <w:adjustRightInd w:val="0"/>
                    <w:spacing w:line="240" w:lineRule="exact"/>
                    <w:ind w:left="318"/>
                    <w:textAlignment w:val="baseline"/>
                    <w:rPr>
                      <w:rFonts w:cs="Tahoma"/>
                      <w:sz w:val="16"/>
                      <w:szCs w:val="16"/>
                      <w:lang w:val="es-ES_tradnl"/>
                    </w:rPr>
                  </w:pPr>
                </w:p>
                <w:p w:rsidR="00076C20" w:rsidRDefault="00076C20" w:rsidP="00076C20">
                  <w:pPr>
                    <w:widowControl w:val="0"/>
                    <w:tabs>
                      <w:tab w:val="left" w:pos="318"/>
                    </w:tabs>
                    <w:adjustRightInd w:val="0"/>
                    <w:spacing w:line="240" w:lineRule="exact"/>
                    <w:ind w:left="318"/>
                    <w:textAlignment w:val="baseline"/>
                    <w:rPr>
                      <w:rFonts w:cs="Tahoma"/>
                      <w:sz w:val="16"/>
                      <w:szCs w:val="16"/>
                      <w:lang w:val="es-ES_tradnl"/>
                    </w:rPr>
                  </w:pPr>
                </w:p>
                <w:p w:rsidR="00076C20" w:rsidRDefault="00076C20" w:rsidP="00076C20">
                  <w:pPr>
                    <w:widowControl w:val="0"/>
                    <w:tabs>
                      <w:tab w:val="left" w:pos="318"/>
                    </w:tabs>
                    <w:adjustRightInd w:val="0"/>
                    <w:spacing w:line="240" w:lineRule="exact"/>
                    <w:ind w:left="318"/>
                    <w:textAlignment w:val="baseline"/>
                    <w:rPr>
                      <w:rFonts w:cs="Tahoma"/>
                      <w:sz w:val="16"/>
                      <w:szCs w:val="16"/>
                      <w:lang w:val="es-ES_tradnl"/>
                    </w:rPr>
                  </w:pPr>
                </w:p>
                <w:p w:rsidR="00076C20" w:rsidRDefault="00076C20" w:rsidP="00076C20">
                  <w:pPr>
                    <w:widowControl w:val="0"/>
                    <w:tabs>
                      <w:tab w:val="left" w:pos="318"/>
                    </w:tabs>
                    <w:adjustRightInd w:val="0"/>
                    <w:spacing w:line="240" w:lineRule="exact"/>
                    <w:ind w:left="318"/>
                    <w:textAlignment w:val="baseline"/>
                    <w:rPr>
                      <w:rFonts w:cs="Tahoma"/>
                      <w:sz w:val="16"/>
                      <w:szCs w:val="16"/>
                      <w:lang w:val="es-ES_tradnl"/>
                    </w:rPr>
                  </w:pPr>
                </w:p>
                <w:p w:rsidR="00076C20" w:rsidRDefault="00076C20" w:rsidP="00076C20">
                  <w:pPr>
                    <w:widowControl w:val="0"/>
                    <w:tabs>
                      <w:tab w:val="left" w:pos="318"/>
                    </w:tabs>
                    <w:adjustRightInd w:val="0"/>
                    <w:spacing w:line="240" w:lineRule="exact"/>
                    <w:ind w:left="318"/>
                    <w:textAlignment w:val="baseline"/>
                    <w:rPr>
                      <w:rFonts w:cs="Tahoma"/>
                      <w:sz w:val="16"/>
                      <w:szCs w:val="16"/>
                      <w:lang w:val="es-ES_tradnl"/>
                    </w:rPr>
                  </w:pPr>
                </w:p>
                <w:p w:rsidR="00076C20" w:rsidRDefault="00076C20" w:rsidP="00076C20">
                  <w:pPr>
                    <w:widowControl w:val="0"/>
                    <w:tabs>
                      <w:tab w:val="left" w:pos="318"/>
                    </w:tabs>
                    <w:adjustRightInd w:val="0"/>
                    <w:spacing w:line="240" w:lineRule="exact"/>
                    <w:ind w:left="318"/>
                    <w:textAlignment w:val="baseline"/>
                    <w:rPr>
                      <w:rFonts w:cs="Tahoma"/>
                      <w:sz w:val="16"/>
                      <w:szCs w:val="16"/>
                      <w:lang w:val="es-ES_tradnl"/>
                    </w:rPr>
                  </w:pPr>
                </w:p>
                <w:p w:rsidR="00076C20" w:rsidRDefault="00076C20" w:rsidP="00076C20">
                  <w:pPr>
                    <w:widowControl w:val="0"/>
                    <w:tabs>
                      <w:tab w:val="left" w:pos="318"/>
                    </w:tabs>
                    <w:adjustRightInd w:val="0"/>
                    <w:spacing w:line="240" w:lineRule="exact"/>
                    <w:ind w:left="318"/>
                    <w:textAlignment w:val="baseline"/>
                    <w:rPr>
                      <w:rFonts w:cs="Tahoma"/>
                      <w:sz w:val="16"/>
                      <w:szCs w:val="16"/>
                      <w:lang w:val="es-ES_tradnl"/>
                    </w:rPr>
                  </w:pPr>
                </w:p>
                <w:p w:rsidR="00076C20" w:rsidRPr="00FE63CB" w:rsidRDefault="00076C20" w:rsidP="00076C20">
                  <w:pPr>
                    <w:widowControl w:val="0"/>
                    <w:tabs>
                      <w:tab w:val="left" w:pos="318"/>
                    </w:tabs>
                    <w:adjustRightInd w:val="0"/>
                    <w:spacing w:line="240" w:lineRule="exact"/>
                    <w:ind w:left="318"/>
                    <w:textAlignment w:val="baseline"/>
                    <w:rPr>
                      <w:rFonts w:cs="Tahoma"/>
                      <w:sz w:val="16"/>
                      <w:szCs w:val="16"/>
                      <w:lang w:val="es-ES_tradnl"/>
                    </w:rPr>
                  </w:pPr>
                </w:p>
                <w:p w:rsidR="00076C20" w:rsidRPr="00FE63CB" w:rsidRDefault="00076C20" w:rsidP="00076C20">
                  <w:pPr>
                    <w:widowControl w:val="0"/>
                    <w:tabs>
                      <w:tab w:val="left" w:pos="318"/>
                    </w:tabs>
                    <w:adjustRightInd w:val="0"/>
                    <w:spacing w:line="240" w:lineRule="exact"/>
                    <w:ind w:left="678"/>
                    <w:textAlignment w:val="baseline"/>
                    <w:rPr>
                      <w:rFonts w:cs="Tahoma"/>
                      <w:b/>
                      <w:sz w:val="16"/>
                      <w:szCs w:val="16"/>
                    </w:rPr>
                  </w:pPr>
                </w:p>
                <w:p w:rsidR="00076C20" w:rsidRPr="00FE63CB" w:rsidRDefault="00076C20" w:rsidP="00076C20">
                  <w:pPr>
                    <w:pStyle w:val="Sinespaciado"/>
                    <w:rPr>
                      <w:rFonts w:ascii="Tahoma" w:hAnsi="Tahoma" w:cs="Tahoma"/>
                      <w:sz w:val="16"/>
                      <w:szCs w:val="16"/>
                    </w:rPr>
                  </w:pPr>
                  <w:r w:rsidRPr="00FE63CB">
                    <w:rPr>
                      <w:rFonts w:cs="Tahoma"/>
                      <w:i/>
                      <w:sz w:val="16"/>
                      <w:szCs w:val="16"/>
                    </w:rPr>
                    <w:t>(El subrayado y negrita es nuestro).</w:t>
                  </w:r>
                </w:p>
                <w:p w:rsidR="00076C20" w:rsidRPr="00FE63CB" w:rsidRDefault="00076C20" w:rsidP="00076C20">
                  <w:pPr>
                    <w:pStyle w:val="Sinespaciado"/>
                    <w:rPr>
                      <w:rFonts w:ascii="Tahoma" w:hAnsi="Tahoma" w:cs="Tahoma"/>
                      <w:sz w:val="16"/>
                      <w:szCs w:val="16"/>
                    </w:rPr>
                  </w:pPr>
                  <w:r w:rsidRPr="00FE63CB">
                    <w:rPr>
                      <w:rFonts w:ascii="Tahoma" w:hAnsi="Tahoma" w:cs="Tahoma"/>
                      <w:i/>
                      <w:sz w:val="16"/>
                      <w:szCs w:val="16"/>
                    </w:rPr>
                    <w:t>( El subrayado y negrita es nuestro</w:t>
                  </w:r>
                  <w:r w:rsidRPr="00FE63CB">
                    <w:rPr>
                      <w:rFonts w:ascii="Tahoma" w:hAnsi="Tahoma" w:cs="Tahoma"/>
                      <w:sz w:val="16"/>
                      <w:szCs w:val="16"/>
                    </w:rPr>
                    <w:t>)</w:t>
                  </w:r>
                </w:p>
              </w:txbxContent>
            </v:textbox>
          </v:rect>
        </w:pict>
      </w:r>
    </w:p>
    <w:p w:rsidR="00076C20" w:rsidRPr="00076C20" w:rsidRDefault="00076C20" w:rsidP="00076C20">
      <w:pPr>
        <w:pStyle w:val="Prrafodelista"/>
        <w:ind w:left="567"/>
        <w:rPr>
          <w:rFonts w:ascii="Tahoma" w:hAnsi="Tahoma" w:cs="Tahoma"/>
        </w:rPr>
      </w:pPr>
    </w:p>
    <w:p w:rsidR="00076C20" w:rsidRPr="00076C20" w:rsidRDefault="00076C20" w:rsidP="00076C20">
      <w:pPr>
        <w:pStyle w:val="Prrafodelista"/>
        <w:ind w:left="1276" w:hanging="556"/>
        <w:rPr>
          <w:rFonts w:ascii="Tahoma" w:hAnsi="Tahoma" w:cs="Tahoma"/>
        </w:rPr>
      </w:pPr>
    </w:p>
    <w:p w:rsidR="00076C20" w:rsidRPr="00076C20" w:rsidRDefault="00076C20" w:rsidP="00076C20">
      <w:pPr>
        <w:pStyle w:val="Prrafodelista"/>
        <w:ind w:left="1276" w:hanging="556"/>
        <w:rPr>
          <w:rFonts w:ascii="Tahoma" w:hAnsi="Tahoma" w:cs="Tahoma"/>
        </w:rPr>
      </w:pPr>
    </w:p>
    <w:p w:rsidR="00076C20" w:rsidRPr="00076C20" w:rsidRDefault="00076C20" w:rsidP="00076C20">
      <w:pPr>
        <w:pStyle w:val="Prrafodelista"/>
        <w:rPr>
          <w:rFonts w:ascii="Tahoma" w:hAnsi="Tahoma" w:cs="Tahoma"/>
        </w:rPr>
      </w:pPr>
    </w:p>
    <w:p w:rsidR="00076C20" w:rsidRPr="00076C20" w:rsidRDefault="00076C20" w:rsidP="00076C20">
      <w:pPr>
        <w:pStyle w:val="Prrafodelista"/>
        <w:rPr>
          <w:rFonts w:ascii="Tahoma" w:hAnsi="Tahoma" w:cs="Tahoma"/>
        </w:rPr>
      </w:pPr>
    </w:p>
    <w:p w:rsidR="00076C20" w:rsidRPr="00076C20" w:rsidRDefault="00076C20" w:rsidP="00076C20">
      <w:pPr>
        <w:tabs>
          <w:tab w:val="num" w:pos="567"/>
        </w:tabs>
        <w:rPr>
          <w:rFonts w:ascii="Tahoma" w:hAnsi="Tahoma" w:cs="Tahoma"/>
          <w:sz w:val="20"/>
          <w:szCs w:val="20"/>
        </w:rPr>
      </w:pPr>
    </w:p>
    <w:p w:rsidR="00076C20" w:rsidRPr="00076C20" w:rsidRDefault="00076C20" w:rsidP="00076C20">
      <w:pPr>
        <w:tabs>
          <w:tab w:val="num" w:pos="567"/>
        </w:tabs>
        <w:rPr>
          <w:rFonts w:ascii="Tahoma" w:hAnsi="Tahoma" w:cs="Tahoma"/>
          <w:sz w:val="20"/>
          <w:szCs w:val="20"/>
        </w:rPr>
      </w:pPr>
    </w:p>
    <w:p w:rsidR="00076C20" w:rsidRPr="00076C20" w:rsidRDefault="00076C20" w:rsidP="00076C20">
      <w:pPr>
        <w:tabs>
          <w:tab w:val="num" w:pos="567"/>
        </w:tabs>
        <w:rPr>
          <w:rFonts w:ascii="Tahoma" w:hAnsi="Tahoma" w:cs="Tahoma"/>
          <w:sz w:val="20"/>
          <w:szCs w:val="20"/>
        </w:rPr>
      </w:pPr>
    </w:p>
    <w:p w:rsidR="00076C20" w:rsidRPr="00076C20" w:rsidRDefault="00076C20" w:rsidP="00076C20">
      <w:pPr>
        <w:tabs>
          <w:tab w:val="num" w:pos="567"/>
        </w:tabs>
        <w:rPr>
          <w:rFonts w:ascii="Tahoma" w:hAnsi="Tahoma" w:cs="Tahoma"/>
          <w:sz w:val="20"/>
          <w:szCs w:val="20"/>
        </w:rPr>
      </w:pPr>
    </w:p>
    <w:p w:rsidR="00076C20" w:rsidRPr="00076C20" w:rsidRDefault="00076C20" w:rsidP="00076C20">
      <w:pPr>
        <w:tabs>
          <w:tab w:val="num" w:pos="567"/>
        </w:tabs>
        <w:ind w:left="567"/>
        <w:rPr>
          <w:rFonts w:ascii="Tahoma" w:hAnsi="Tahoma" w:cs="Tahoma"/>
          <w:sz w:val="20"/>
          <w:szCs w:val="20"/>
        </w:rPr>
      </w:pPr>
    </w:p>
    <w:p w:rsidR="00076C20" w:rsidRPr="00076C20" w:rsidRDefault="00076C20" w:rsidP="00076C20">
      <w:pPr>
        <w:pStyle w:val="Prrafodelista"/>
        <w:rPr>
          <w:rFonts w:ascii="Tahoma" w:hAnsi="Tahoma" w:cs="Tahoma"/>
        </w:rPr>
      </w:pPr>
    </w:p>
    <w:p w:rsidR="00076C20" w:rsidRPr="00076C20" w:rsidRDefault="00076C20" w:rsidP="00076C20">
      <w:pPr>
        <w:widowControl w:val="0"/>
        <w:autoSpaceDE w:val="0"/>
        <w:autoSpaceDN w:val="0"/>
        <w:adjustRightInd w:val="0"/>
        <w:ind w:left="567"/>
        <w:rPr>
          <w:rFonts w:ascii="Tahoma" w:hAnsi="Tahoma" w:cs="Tahoma"/>
          <w:sz w:val="20"/>
          <w:szCs w:val="20"/>
        </w:rPr>
      </w:pPr>
    </w:p>
    <w:p w:rsidR="00076C20" w:rsidRPr="00076C20" w:rsidRDefault="00076C20" w:rsidP="00076C20">
      <w:pPr>
        <w:pStyle w:val="Prrafodelista"/>
        <w:rPr>
          <w:rFonts w:ascii="Tahoma" w:hAnsi="Tahoma" w:cs="Tahoma"/>
        </w:rPr>
      </w:pPr>
    </w:p>
    <w:p w:rsidR="00076C20" w:rsidRPr="00076C20" w:rsidRDefault="00076C20" w:rsidP="00076C20">
      <w:pPr>
        <w:pStyle w:val="Prrafodelista"/>
        <w:rPr>
          <w:rFonts w:ascii="Tahoma" w:hAnsi="Tahoma" w:cs="Tahoma"/>
        </w:rPr>
      </w:pPr>
    </w:p>
    <w:p w:rsidR="00076C20" w:rsidRPr="00076C20" w:rsidRDefault="00076C20" w:rsidP="00076C20">
      <w:pPr>
        <w:pStyle w:val="Prrafodelista"/>
        <w:ind w:left="567"/>
        <w:rPr>
          <w:rFonts w:ascii="Tahoma" w:hAnsi="Tahoma" w:cs="Tahoma"/>
          <w:lang w:val="es-MX"/>
        </w:rPr>
      </w:pPr>
    </w:p>
    <w:p w:rsidR="00076C20" w:rsidRPr="00076C20" w:rsidRDefault="00076C20" w:rsidP="00076C20">
      <w:pPr>
        <w:pStyle w:val="Prrafodelista"/>
        <w:ind w:left="567"/>
        <w:rPr>
          <w:rFonts w:ascii="Tahoma" w:hAnsi="Tahoma" w:cs="Tahoma"/>
          <w:lang w:val="es-MX"/>
        </w:rPr>
      </w:pPr>
    </w:p>
    <w:p w:rsidR="00076C20" w:rsidRPr="00076C20" w:rsidRDefault="00076C20" w:rsidP="00076C20">
      <w:pPr>
        <w:pStyle w:val="Prrafodelista"/>
        <w:ind w:left="567"/>
        <w:rPr>
          <w:rFonts w:ascii="Tahoma" w:hAnsi="Tahoma" w:cs="Tahoma"/>
          <w:lang w:val="es-MX"/>
        </w:rPr>
      </w:pPr>
    </w:p>
    <w:p w:rsidR="00076C20" w:rsidRDefault="00076C20" w:rsidP="00076C20">
      <w:pPr>
        <w:pStyle w:val="Prrafodelista"/>
        <w:ind w:left="567"/>
        <w:rPr>
          <w:rFonts w:ascii="Tahoma" w:hAnsi="Tahoma" w:cs="Tahoma"/>
          <w:lang w:val="es-MX"/>
        </w:rPr>
      </w:pPr>
    </w:p>
    <w:p w:rsidR="00076C20" w:rsidRPr="00076C20" w:rsidRDefault="00076C20" w:rsidP="00076C20">
      <w:pPr>
        <w:pStyle w:val="Prrafodelista"/>
        <w:ind w:left="567"/>
        <w:rPr>
          <w:rFonts w:ascii="Tahoma" w:hAnsi="Tahoma" w:cs="Tahoma"/>
          <w:lang w:val="es-MX"/>
        </w:rPr>
      </w:pPr>
    </w:p>
    <w:p w:rsidR="00076C20" w:rsidRPr="00076C20" w:rsidRDefault="00076C20" w:rsidP="00076C20">
      <w:pPr>
        <w:pStyle w:val="Prrafodelista"/>
        <w:ind w:left="567"/>
        <w:rPr>
          <w:rFonts w:ascii="Tahoma" w:hAnsi="Tahoma" w:cs="Tahoma"/>
          <w:lang w:val="es-MX"/>
        </w:rPr>
      </w:pPr>
    </w:p>
    <w:p w:rsidR="00076C20" w:rsidRDefault="00076C20" w:rsidP="00076C20">
      <w:pPr>
        <w:pStyle w:val="Textoindependiente"/>
        <w:widowControl w:val="0"/>
        <w:suppressAutoHyphens/>
        <w:ind w:left="567"/>
        <w:jc w:val="both"/>
        <w:rPr>
          <w:rFonts w:ascii="Tahoma" w:hAnsi="Tahoma" w:cs="Tahoma"/>
          <w:sz w:val="20"/>
          <w:szCs w:val="20"/>
        </w:rPr>
      </w:pPr>
      <w:r w:rsidRPr="00076C20">
        <w:rPr>
          <w:rFonts w:ascii="Tahoma" w:hAnsi="Tahoma" w:cs="Tahoma"/>
          <w:sz w:val="20"/>
          <w:szCs w:val="20"/>
        </w:rPr>
        <w:lastRenderedPageBreak/>
        <w:t>Del mismo modo, de la citada orden de compra se desprende que el plazo de ejecución contractual sería de dos (02) días de recepcionada la misma, plazo que el Consorcio se comprometió a cumplir una vez adjudicada la Buena Pro del presente proceso de selección, de acuerdo a la Declaración Jurada contenida en el Anexo № 05 de las Bases Administrativas</w:t>
      </w:r>
      <w:r w:rsidRPr="00076C20">
        <w:rPr>
          <w:rStyle w:val="Refdenotaalpie"/>
          <w:rFonts w:ascii="Tahoma" w:hAnsi="Tahoma" w:cs="Tahoma"/>
          <w:sz w:val="20"/>
          <w:szCs w:val="20"/>
        </w:rPr>
        <w:footnoteReference w:id="7"/>
      </w:r>
      <w:r w:rsidRPr="00076C20">
        <w:rPr>
          <w:rFonts w:ascii="Tahoma" w:hAnsi="Tahoma" w:cs="Tahoma"/>
          <w:sz w:val="20"/>
          <w:szCs w:val="20"/>
        </w:rPr>
        <w:t>.</w:t>
      </w:r>
    </w:p>
    <w:p w:rsidR="00076C20" w:rsidRPr="00076C20" w:rsidRDefault="00076C20" w:rsidP="00076C20">
      <w:pPr>
        <w:pStyle w:val="Textoindependiente"/>
        <w:widowControl w:val="0"/>
        <w:numPr>
          <w:ilvl w:val="0"/>
          <w:numId w:val="4"/>
        </w:numPr>
        <w:suppressAutoHyphens/>
        <w:spacing w:after="0"/>
        <w:ind w:left="567" w:hanging="567"/>
        <w:jc w:val="both"/>
        <w:rPr>
          <w:rFonts w:ascii="Tahoma" w:hAnsi="Tahoma" w:cs="Tahoma"/>
          <w:sz w:val="20"/>
          <w:szCs w:val="20"/>
        </w:rPr>
      </w:pPr>
      <w:r w:rsidRPr="00076C20">
        <w:rPr>
          <w:rFonts w:ascii="Tahoma" w:hAnsi="Tahoma" w:cs="Tahoma"/>
          <w:sz w:val="20"/>
          <w:szCs w:val="20"/>
        </w:rPr>
        <w:t xml:space="preserve">En base a lo expuesto, fluye de la documentación obrante en autos, que luego de perfeccionado el contrato, el Contratista remitió el Oficio № 03-2010-DG-CESP el 04 de septiembre de 2010, mediante el cual comunicó a la Entidad que las cinco (5) computadoras que se iban a internar contenían partes (CPU, teclado, monitor) de diferentes marcas de empresas (Foxconn, Genius y Hyundai), siendo éstas consorciadas, por lo que le solicitó admitir dichos bienes, los cuales estaban en óptimas condiciones. </w:t>
      </w:r>
    </w:p>
    <w:p w:rsidR="00076C20" w:rsidRDefault="00076C20" w:rsidP="00076C20">
      <w:pPr>
        <w:pStyle w:val="Textoindependiente"/>
        <w:widowControl w:val="0"/>
        <w:suppressAutoHyphens/>
        <w:spacing w:after="0"/>
        <w:ind w:left="567"/>
        <w:jc w:val="both"/>
        <w:rPr>
          <w:rFonts w:ascii="Tahoma" w:hAnsi="Tahoma" w:cs="Tahoma"/>
          <w:sz w:val="20"/>
          <w:szCs w:val="20"/>
        </w:rPr>
      </w:pPr>
    </w:p>
    <w:p w:rsidR="00076C20" w:rsidRPr="00076C20" w:rsidRDefault="00076C20" w:rsidP="00076C20">
      <w:pPr>
        <w:pStyle w:val="Textoindependiente"/>
        <w:widowControl w:val="0"/>
        <w:numPr>
          <w:ilvl w:val="0"/>
          <w:numId w:val="4"/>
        </w:numPr>
        <w:suppressAutoHyphens/>
        <w:spacing w:after="0"/>
        <w:ind w:left="567" w:hanging="567"/>
        <w:jc w:val="both"/>
        <w:rPr>
          <w:rFonts w:ascii="Tahoma" w:hAnsi="Tahoma" w:cs="Tahoma"/>
          <w:sz w:val="20"/>
          <w:szCs w:val="20"/>
        </w:rPr>
      </w:pPr>
      <w:r w:rsidRPr="00076C20">
        <w:rPr>
          <w:rFonts w:ascii="Tahoma" w:hAnsi="Tahoma" w:cs="Tahoma"/>
          <w:sz w:val="20"/>
          <w:szCs w:val="20"/>
        </w:rPr>
        <w:t>En principio, a fin de analizar el argumentos expuesto por el Contratista, se debe precisar que la resolución del contrato es un efecto entre otros, por el incumplimiento injustificado de obligaciones contractuales, legales o reglamentarias, que previamente haya sido requerido –mediante carta notarial– por la parte perjudicada; es decir, en el presente caso, la resolución del contrato se debió porque la Contratista no cumplió con levantar las observaciones efectuadas el 24 de septiembre de 2010. Por ello, el Oficio № 03-2010-DG-CESP notificado el 04 de septiembre de 2010,  fue  cursado por el Contratista a la Entidad, hasta antes del requerimiento de cumplimiento de obligaciones contractuales, quedando demostrado que éste durante el requerimiento de obligaciones hasta la resolución del contrato, no cumplió con levantar las observaciones formuladas a los bienes internados, según lo informado por la Entidad.</w:t>
      </w:r>
    </w:p>
    <w:p w:rsidR="00076C20" w:rsidRDefault="00076C20" w:rsidP="00076C20">
      <w:pPr>
        <w:ind w:left="567"/>
        <w:contextualSpacing/>
        <w:jc w:val="both"/>
        <w:rPr>
          <w:rFonts w:ascii="Tahoma" w:hAnsi="Tahoma" w:cs="Tahoma"/>
          <w:sz w:val="20"/>
          <w:szCs w:val="20"/>
          <w:lang w:val="es-PE"/>
        </w:rPr>
      </w:pPr>
    </w:p>
    <w:p w:rsidR="00076C20" w:rsidRPr="00076C20" w:rsidRDefault="00076C20" w:rsidP="00076C20">
      <w:pPr>
        <w:ind w:left="567"/>
        <w:contextualSpacing/>
        <w:jc w:val="both"/>
        <w:rPr>
          <w:rFonts w:ascii="Tahoma" w:hAnsi="Tahoma" w:cs="Tahoma"/>
          <w:sz w:val="20"/>
          <w:szCs w:val="20"/>
        </w:rPr>
      </w:pPr>
      <w:r w:rsidRPr="00076C20">
        <w:rPr>
          <w:rFonts w:ascii="Tahoma" w:hAnsi="Tahoma" w:cs="Tahoma"/>
          <w:sz w:val="20"/>
          <w:szCs w:val="20"/>
          <w:lang w:val="es-PE"/>
        </w:rPr>
        <w:t xml:space="preserve">Aunado a ello, </w:t>
      </w:r>
      <w:r w:rsidRPr="00076C20">
        <w:rPr>
          <w:rFonts w:ascii="Tahoma" w:hAnsi="Tahoma" w:cs="Tahoma"/>
          <w:sz w:val="20"/>
          <w:szCs w:val="20"/>
        </w:rPr>
        <w:t>tampoco se desprende que del contenido del Oficio № 03-2010-DG-CESP, el Contratista solicitó a la Entidad admitir los bienes con diferentes características a las ofertadas, sino por el contrario era una comunicación directa por la cual comunicó que las cinco (5) computadoras a internar contenían componentes de diferentes marcas, situación fáctica que acredita que el Contratista pese a que conocía cuales eras sus obligaciones frente a la Entidad, pretendía entregar a la Entidad, equipos que no cumplían con las especificaciones técnicas requeridas en las Bases Administrativas del presente proceso de selección.</w:t>
      </w:r>
    </w:p>
    <w:p w:rsidR="00076C20" w:rsidRPr="00076C20" w:rsidRDefault="00076C20" w:rsidP="00076C20">
      <w:pPr>
        <w:ind w:left="567"/>
        <w:contextualSpacing/>
        <w:rPr>
          <w:rFonts w:ascii="Tahoma" w:hAnsi="Tahoma" w:cs="Tahoma"/>
          <w:sz w:val="20"/>
          <w:szCs w:val="20"/>
        </w:rPr>
      </w:pPr>
    </w:p>
    <w:p w:rsidR="00076C20" w:rsidRPr="00076C20" w:rsidRDefault="00076C20" w:rsidP="00076C20">
      <w:pPr>
        <w:pStyle w:val="Prrafodelista"/>
        <w:widowControl w:val="0"/>
        <w:numPr>
          <w:ilvl w:val="0"/>
          <w:numId w:val="4"/>
        </w:numPr>
        <w:suppressAutoHyphens/>
        <w:autoSpaceDE w:val="0"/>
        <w:autoSpaceDN w:val="0"/>
        <w:adjustRightInd w:val="0"/>
        <w:ind w:left="567" w:hanging="567"/>
        <w:contextualSpacing w:val="0"/>
        <w:jc w:val="both"/>
        <w:rPr>
          <w:rFonts w:ascii="Tahoma" w:hAnsi="Tahoma" w:cs="Tahoma"/>
        </w:rPr>
      </w:pPr>
      <w:r w:rsidRPr="00076C20">
        <w:rPr>
          <w:rFonts w:ascii="Tahoma" w:hAnsi="Tahoma" w:cs="Tahoma"/>
        </w:rPr>
        <w:t xml:space="preserve">Así, pues, corre de autos, que </w:t>
      </w:r>
      <w:r w:rsidRPr="00076C20">
        <w:rPr>
          <w:rFonts w:ascii="Tahoma" w:hAnsi="Tahoma" w:cs="Tahoma"/>
          <w:lang w:val="es-MX"/>
        </w:rPr>
        <w:t xml:space="preserve">a través de la Declaración Jurada de Cumplimiento de los Requerimientos Técnicos Mínimos del Bien Convocado de las Bases Administrativas del citado proceso de selección, el Contratista se comprometió a entregar los bienes de acuerdo a las especificaciones técnicas del Capítulo III de Bases, por lo que al ser favorecido con el otorgamiento de la Buena Pro, recepciono la Orden </w:t>
      </w:r>
      <w:r w:rsidRPr="00076C20">
        <w:rPr>
          <w:rFonts w:ascii="Tahoma" w:hAnsi="Tahoma" w:cs="Tahoma"/>
        </w:rPr>
        <w:t>de Compra № 365</w:t>
      </w:r>
      <w:r w:rsidRPr="00076C20">
        <w:rPr>
          <w:rFonts w:ascii="Tahoma" w:hAnsi="Tahoma" w:cs="Tahoma"/>
          <w:lang w:val="es-MX"/>
        </w:rPr>
        <w:t>, mediante el cual el Contratista estaba obligado a internar los bienes adjudicados conforme lo establecidas las Bases del presente proceso de selección</w:t>
      </w:r>
      <w:r w:rsidRPr="00076C20">
        <w:rPr>
          <w:rFonts w:ascii="Tahoma" w:hAnsi="Tahoma" w:cs="Tahoma"/>
        </w:rPr>
        <w:t xml:space="preserve">. </w:t>
      </w:r>
    </w:p>
    <w:p w:rsidR="00076C20" w:rsidRPr="00076C20" w:rsidRDefault="00076C20" w:rsidP="00076C20">
      <w:pPr>
        <w:pStyle w:val="Prrafodelista"/>
        <w:widowControl w:val="0"/>
        <w:suppressAutoHyphens/>
        <w:autoSpaceDE w:val="0"/>
        <w:autoSpaceDN w:val="0"/>
        <w:adjustRightInd w:val="0"/>
        <w:ind w:left="567"/>
        <w:rPr>
          <w:rFonts w:ascii="Tahoma" w:hAnsi="Tahoma" w:cs="Tahoma"/>
        </w:rPr>
      </w:pPr>
    </w:p>
    <w:p w:rsidR="00076C20" w:rsidRPr="00076C20" w:rsidRDefault="00076C20" w:rsidP="00076C20">
      <w:pPr>
        <w:pStyle w:val="Prrafodelista"/>
        <w:widowControl w:val="0"/>
        <w:suppressAutoHyphens/>
        <w:autoSpaceDE w:val="0"/>
        <w:autoSpaceDN w:val="0"/>
        <w:adjustRightInd w:val="0"/>
        <w:ind w:left="567"/>
        <w:jc w:val="both"/>
        <w:rPr>
          <w:rFonts w:ascii="Tahoma" w:hAnsi="Tahoma" w:cs="Tahoma"/>
        </w:rPr>
      </w:pPr>
      <w:r w:rsidRPr="00076C20">
        <w:rPr>
          <w:rFonts w:ascii="Tahoma" w:hAnsi="Tahoma" w:cs="Tahoma"/>
        </w:rPr>
        <w:t xml:space="preserve">No obstante ello, el 06 de septiembre de 2010, a través de la Guía de Remisión № 0033, el Contratista internó en las instalaciones de la Entidad, cinco (5) computadoras, cuyas características, entre otras, eran las siguientes: </w:t>
      </w:r>
      <w:r w:rsidRPr="00076C20">
        <w:rPr>
          <w:rFonts w:ascii="Tahoma" w:hAnsi="Tahoma" w:cs="Tahoma"/>
          <w:b/>
        </w:rPr>
        <w:t>(i)</w:t>
      </w:r>
      <w:r w:rsidRPr="00076C20">
        <w:rPr>
          <w:rFonts w:ascii="Tahoma" w:hAnsi="Tahoma" w:cs="Tahoma"/>
        </w:rPr>
        <w:t xml:space="preserve"> CPU marca Foxconn; </w:t>
      </w:r>
      <w:r w:rsidRPr="00076C20">
        <w:rPr>
          <w:rFonts w:ascii="Tahoma" w:hAnsi="Tahoma" w:cs="Tahoma"/>
          <w:b/>
        </w:rPr>
        <w:t xml:space="preserve">(ii) </w:t>
      </w:r>
      <w:r w:rsidRPr="00076C20">
        <w:rPr>
          <w:rFonts w:ascii="Tahoma" w:hAnsi="Tahoma" w:cs="Tahoma"/>
        </w:rPr>
        <w:t xml:space="preserve">Monitor </w:t>
      </w:r>
      <w:r w:rsidRPr="00076C20">
        <w:rPr>
          <w:rFonts w:ascii="Tahoma" w:hAnsi="Tahoma" w:cs="Tahoma"/>
        </w:rPr>
        <w:lastRenderedPageBreak/>
        <w:t xml:space="preserve">marca Hyundai; y (iii) teclado y mouse marca Genius. </w:t>
      </w:r>
    </w:p>
    <w:p w:rsidR="00076C20" w:rsidRPr="00076C20" w:rsidRDefault="00076C20" w:rsidP="00076C20">
      <w:pPr>
        <w:pStyle w:val="Prrafodelista"/>
        <w:widowControl w:val="0"/>
        <w:suppressAutoHyphens/>
        <w:autoSpaceDE w:val="0"/>
        <w:autoSpaceDN w:val="0"/>
        <w:adjustRightInd w:val="0"/>
        <w:ind w:left="567"/>
        <w:rPr>
          <w:rFonts w:ascii="Tahoma" w:hAnsi="Tahoma" w:cs="Tahoma"/>
        </w:rPr>
      </w:pPr>
    </w:p>
    <w:p w:rsidR="00076C20" w:rsidRPr="00076C20" w:rsidRDefault="00076C20" w:rsidP="00076C20">
      <w:pPr>
        <w:pStyle w:val="Prrafodelista"/>
        <w:widowControl w:val="0"/>
        <w:numPr>
          <w:ilvl w:val="0"/>
          <w:numId w:val="4"/>
        </w:numPr>
        <w:suppressAutoHyphens/>
        <w:autoSpaceDE w:val="0"/>
        <w:autoSpaceDN w:val="0"/>
        <w:adjustRightInd w:val="0"/>
        <w:ind w:left="567" w:hanging="567"/>
        <w:contextualSpacing w:val="0"/>
        <w:jc w:val="both"/>
        <w:rPr>
          <w:rFonts w:ascii="Tahoma" w:hAnsi="Tahoma" w:cs="Tahoma"/>
        </w:rPr>
      </w:pPr>
      <w:r w:rsidRPr="00076C20">
        <w:rPr>
          <w:rFonts w:ascii="Tahoma" w:hAnsi="Tahoma" w:cs="Tahoma"/>
        </w:rPr>
        <w:t xml:space="preserve">Nótese, </w:t>
      </w:r>
      <w:r w:rsidRPr="00076C20">
        <w:rPr>
          <w:rFonts w:ascii="Tahoma" w:hAnsi="Tahoma" w:cs="Tahoma"/>
          <w:lang w:val="es-MX"/>
        </w:rPr>
        <w:t xml:space="preserve">entonces, que el Contratista a pesar de haberse comprometido a internar los bienes de acuerdo a las especificaciones técnicas señaladas en el numeral 17 de la presente Fundamentación, no cumplió con sus obligaciones asumidas ante la Entidad, toda vez que éste estaba obligado no sólo a cumplir con la entrega de las computadoras sino que éstos debían contener componentes de la misma marca, entendiéndose, que el CPU, monitor, teclado y mouse debían ser de la misma marca conforme lo establecían </w:t>
      </w:r>
      <w:r w:rsidRPr="00076C20">
        <w:rPr>
          <w:rFonts w:ascii="Tahoma" w:hAnsi="Tahoma" w:cs="Tahoma"/>
        </w:rPr>
        <w:t xml:space="preserve">las Bases Integradas, la oferta ganadora y los documentos derivados del proceso de selección que establecían las obligaciones para las partes, toda vez que dicho cumplimiento acreditaría que el Consorcio realizó las prestaciones que tenía a su cargo conforme a la normativa que rige las contrataciones públicas. </w:t>
      </w:r>
    </w:p>
    <w:p w:rsidR="00076C20" w:rsidRPr="00076C20" w:rsidRDefault="00076C20" w:rsidP="00076C20">
      <w:pPr>
        <w:pStyle w:val="Prrafodelista"/>
        <w:widowControl w:val="0"/>
        <w:suppressAutoHyphens/>
        <w:autoSpaceDE w:val="0"/>
        <w:autoSpaceDN w:val="0"/>
        <w:adjustRightInd w:val="0"/>
        <w:ind w:left="567"/>
        <w:rPr>
          <w:rFonts w:ascii="Tahoma" w:hAnsi="Tahoma" w:cs="Tahoma"/>
        </w:rPr>
      </w:pPr>
    </w:p>
    <w:p w:rsidR="00076C20" w:rsidRPr="00076C20" w:rsidRDefault="00076C20" w:rsidP="00076C20">
      <w:pPr>
        <w:pStyle w:val="Prrafodelista"/>
        <w:widowControl w:val="0"/>
        <w:numPr>
          <w:ilvl w:val="0"/>
          <w:numId w:val="4"/>
        </w:numPr>
        <w:suppressAutoHyphens/>
        <w:autoSpaceDE w:val="0"/>
        <w:autoSpaceDN w:val="0"/>
        <w:adjustRightInd w:val="0"/>
        <w:ind w:left="567" w:hanging="567"/>
        <w:contextualSpacing w:val="0"/>
        <w:jc w:val="both"/>
        <w:rPr>
          <w:rFonts w:ascii="Tahoma" w:hAnsi="Tahoma" w:cs="Tahoma"/>
        </w:rPr>
      </w:pPr>
      <w:r w:rsidRPr="00076C20">
        <w:rPr>
          <w:rFonts w:ascii="Tahoma" w:hAnsi="Tahoma" w:cs="Tahoma"/>
        </w:rPr>
        <w:t xml:space="preserve">En ese sentido, si bien el Contratista internó los bienes –a través de la Guía de Remisión № 0033–, ello de modo alguno supone que la Entidad le haya otorgado la conformidad con la sola recepción de éstos, en tanto la normativa de la materia ha establecido un procedimiento especifico a fin de que la Entidad una vez evaluado el cumplimento de las condiciones contractuales, otorgue la respectiva conformidad, dicho lo cual, el numeral 2.10 de las Bases Administrativas señalaron que de acuerdo con el artículo 176 del Reglamento, para efectos del pago de las contraprestaciones ejecutadas por el contratista, la Entidad deberá contar con la siguiente documentación: (i) Recepción y conformidad del Órgano de Administración, en este caso del encargado del Almacén Central de la Presidencia del Consejo de Ministros; (iii) </w:t>
      </w:r>
      <w:r w:rsidRPr="00076C20">
        <w:rPr>
          <w:rFonts w:ascii="Tahoma" w:hAnsi="Tahoma" w:cs="Tahoma"/>
          <w:i/>
        </w:rPr>
        <w:t>Informe del funcionario responsable del área usuaria emitiendo su conformidad de la prestación efectuada</w:t>
      </w:r>
      <w:r w:rsidRPr="00076C20">
        <w:rPr>
          <w:rFonts w:ascii="Tahoma" w:hAnsi="Tahoma" w:cs="Tahoma"/>
        </w:rPr>
        <w:t>; (iii) Factura; y (iv) Guía de Remisión. (la cursiva es nuestra)</w:t>
      </w:r>
    </w:p>
    <w:p w:rsidR="00076C20" w:rsidRPr="00076C20" w:rsidRDefault="00076C20" w:rsidP="00076C20">
      <w:pPr>
        <w:pStyle w:val="Prrafodelista"/>
        <w:rPr>
          <w:rFonts w:ascii="Tahoma" w:hAnsi="Tahoma" w:cs="Tahoma"/>
        </w:rPr>
      </w:pPr>
    </w:p>
    <w:p w:rsidR="00076C20" w:rsidRPr="00076C20" w:rsidRDefault="00076C20" w:rsidP="00076C20">
      <w:pPr>
        <w:pStyle w:val="Prrafodelista"/>
        <w:numPr>
          <w:ilvl w:val="0"/>
          <w:numId w:val="4"/>
        </w:numPr>
        <w:ind w:left="567" w:hanging="567"/>
        <w:jc w:val="both"/>
        <w:rPr>
          <w:rFonts w:ascii="Tahoma" w:hAnsi="Tahoma" w:cs="Tahoma"/>
        </w:rPr>
      </w:pPr>
      <w:r w:rsidRPr="00076C20">
        <w:rPr>
          <w:rFonts w:ascii="Tahoma" w:hAnsi="Tahoma" w:cs="Tahoma"/>
        </w:rPr>
        <w:t>Sin embargo, a través del  Oficio № 297-2010-PCM/OAA notificado el 22 de septiembre de 2010, la Entidad comunicó al Contratista que, habiéndose recibido el Memorando № 647-2010-PCM/OS, emitido por la Oficina de Sistemas de la Entidad (área usuaria), se había advertido que los bienes internados por su representada no cumplían con las especificaciones técnicas establecidas en las Bases, toda vez que los componentes de los equipos no eran de la misma marca, apreciándose además, que faltaba la entrega de los Certificados de Licencia Microsoft, así como el CD de recuperación de S.O. Por lo tanto, la Entidad en forma oportuna comunicó al Contratista, que lo bienes internados no cumplían con lo pactado en la mencionada orden de compra, razón por la cual no correspondía otorgarle la conformidad respectiva, hecho que se ha podido constatar en el presente procedimiento, toda vez que el Contratista no cumplió con las condiciones contractuales establecidas en la Orden de Compra № 365 de fecha 31 de agosto de 2010.</w:t>
      </w:r>
    </w:p>
    <w:p w:rsidR="00076C20" w:rsidRPr="00076C20" w:rsidRDefault="00076C20" w:rsidP="00076C20">
      <w:pPr>
        <w:pStyle w:val="Prrafodelista"/>
        <w:rPr>
          <w:rFonts w:ascii="Tahoma" w:hAnsi="Tahoma" w:cs="Tahoma"/>
        </w:rPr>
      </w:pPr>
    </w:p>
    <w:p w:rsidR="00076C20" w:rsidRPr="00076C20" w:rsidRDefault="00076C20" w:rsidP="00076C20">
      <w:pPr>
        <w:pStyle w:val="Prrafodelista"/>
        <w:numPr>
          <w:ilvl w:val="0"/>
          <w:numId w:val="4"/>
        </w:numPr>
        <w:ind w:left="567" w:hanging="567"/>
        <w:jc w:val="both"/>
        <w:rPr>
          <w:rFonts w:ascii="Tahoma" w:hAnsi="Tahoma" w:cs="Tahoma"/>
        </w:rPr>
      </w:pPr>
      <w:r w:rsidRPr="00076C20">
        <w:rPr>
          <w:rFonts w:ascii="Tahoma" w:hAnsi="Tahoma" w:cs="Tahoma"/>
        </w:rPr>
        <w:t>En ese sentido, conviene precisar que dichos documentos fueron puestos en conocimiento del Contratista con el fin de que cumpla con sus prestaciones a cargo, en tanto al haber sido éste adjudicado con el otorgamiento de la Buena Pro y la consecuente relación contractual, obliga al Contratista a cumplir con lo ofertado dentro de los términos de referencia solicitados en las Bases y materializados en la orden de compra emitida a su favor, para lo cual aquél de manera diligente debe prever que dicha prestación se realice en las condiciones pactadas.</w:t>
      </w:r>
    </w:p>
    <w:p w:rsidR="00076C20" w:rsidRPr="00076C20" w:rsidRDefault="00076C20" w:rsidP="00076C20">
      <w:pPr>
        <w:pStyle w:val="Prrafodelista"/>
        <w:widowControl w:val="0"/>
        <w:suppressAutoHyphens/>
        <w:autoSpaceDE w:val="0"/>
        <w:autoSpaceDN w:val="0"/>
        <w:adjustRightInd w:val="0"/>
        <w:ind w:left="567"/>
        <w:rPr>
          <w:rFonts w:ascii="Tahoma" w:hAnsi="Tahoma" w:cs="Tahoma"/>
        </w:rPr>
      </w:pPr>
    </w:p>
    <w:p w:rsidR="00076C20" w:rsidRPr="00076C20" w:rsidRDefault="00076C20" w:rsidP="00076C20">
      <w:pPr>
        <w:pStyle w:val="Prrafodelista"/>
        <w:widowControl w:val="0"/>
        <w:numPr>
          <w:ilvl w:val="0"/>
          <w:numId w:val="4"/>
        </w:numPr>
        <w:suppressAutoHyphens/>
        <w:autoSpaceDE w:val="0"/>
        <w:autoSpaceDN w:val="0"/>
        <w:adjustRightInd w:val="0"/>
        <w:ind w:left="567" w:hanging="567"/>
        <w:contextualSpacing w:val="0"/>
        <w:jc w:val="both"/>
        <w:rPr>
          <w:rFonts w:ascii="Tahoma" w:hAnsi="Tahoma" w:cs="Tahoma"/>
        </w:rPr>
      </w:pPr>
      <w:r w:rsidRPr="00076C20">
        <w:rPr>
          <w:rFonts w:ascii="Tahoma" w:hAnsi="Tahoma" w:cs="Tahoma"/>
        </w:rPr>
        <w:lastRenderedPageBreak/>
        <w:t xml:space="preserve">Por lo tanto </w:t>
      </w:r>
      <w:r w:rsidRPr="00076C20">
        <w:rPr>
          <w:rFonts w:ascii="Tahoma" w:hAnsi="Tahoma" w:cs="Tahoma"/>
          <w:lang w:val="es-MX"/>
        </w:rPr>
        <w:t>queda desvirtuado el argumento sostenido por el Contratista</w:t>
      </w:r>
      <w:r w:rsidRPr="00076C20">
        <w:rPr>
          <w:rFonts w:ascii="Tahoma" w:hAnsi="Tahoma" w:cs="Tahoma"/>
        </w:rPr>
        <w:t>, toda vez que se ha acreditado fehacientemente que no cumplió con las prestaciones a su cargo, situación fáctica que contraviene el artículo 49 de la Ley y 142 del Reglamento, disposiciones legales que han prescrito que el contrato constituye la fuente de obligación de las partes contratantes, la cual está constituida en el mandato legal, reglamentario, las Bases Integradas y la oferta ganadora, por lo que debe ser atendido tanto por el Contratista como por la Entidad, debido a que su formalización constituye una declaración de voluntad y al estar debidamente perfeccionado, tiene fuerza de Ley.</w:t>
      </w:r>
    </w:p>
    <w:p w:rsidR="00076C20" w:rsidRPr="00076C20" w:rsidRDefault="00076C20" w:rsidP="00076C20">
      <w:pPr>
        <w:pStyle w:val="Prrafodelista"/>
        <w:widowControl w:val="0"/>
        <w:suppressAutoHyphens/>
        <w:autoSpaceDE w:val="0"/>
        <w:autoSpaceDN w:val="0"/>
        <w:adjustRightInd w:val="0"/>
        <w:ind w:left="567"/>
        <w:rPr>
          <w:rFonts w:ascii="Tahoma" w:hAnsi="Tahoma" w:cs="Tahoma"/>
        </w:rPr>
      </w:pPr>
    </w:p>
    <w:p w:rsidR="00076C20" w:rsidRPr="00076C20" w:rsidRDefault="00076C20" w:rsidP="00076C20">
      <w:pPr>
        <w:pStyle w:val="Prrafodelista"/>
        <w:widowControl w:val="0"/>
        <w:numPr>
          <w:ilvl w:val="0"/>
          <w:numId w:val="4"/>
        </w:numPr>
        <w:suppressAutoHyphens/>
        <w:autoSpaceDE w:val="0"/>
        <w:autoSpaceDN w:val="0"/>
        <w:adjustRightInd w:val="0"/>
        <w:ind w:left="567" w:hanging="567"/>
        <w:contextualSpacing w:val="0"/>
        <w:jc w:val="both"/>
        <w:rPr>
          <w:rFonts w:ascii="Tahoma" w:hAnsi="Tahoma" w:cs="Tahoma"/>
        </w:rPr>
      </w:pPr>
      <w:r w:rsidRPr="00076C20">
        <w:rPr>
          <w:rFonts w:ascii="Tahoma" w:hAnsi="Tahoma" w:cs="Tahoma"/>
        </w:rPr>
        <w:t>Adicionalmente a ello, y con relación al segundo argumento de defensa del Contratista, referido a que las especificaciones técnicas solicitadas en las Bases, fueron cumplidas en su mayoría, siendo que las observaciones realizadas por la Entidad sólo obedecen a que los componentes de las computadoras debían ser de la misma marca. Tal argumento sostenido por el Contratista no constituye causa justificable para su incumplimiento de obligaciones, en razón a que por un implícito deber de diligencia de parte suya, aquél debió cumplir a cabalidad la Orden de Compra № 365, toda vez que el objeto de ésta era la adquisición de cinco (5) computadoras, cuyas especificaciones técnicas fueron definidas con precisión en las Bases Administrativas, y detalladas en la mencionada orden de compra, con el fin de que la Entidad satisfaga el cumplimiento de sus funciones, máxime si los componentes (CPU, Monitor, Teclado y Mouse) de la mencionadas computadoras eran parte integral de las condiciones, cantidad y calidad del funcionamiento de éstas.</w:t>
      </w:r>
    </w:p>
    <w:p w:rsidR="00076C20" w:rsidRPr="00076C20" w:rsidRDefault="00076C20" w:rsidP="00076C20">
      <w:pPr>
        <w:pStyle w:val="Prrafodelista"/>
        <w:rPr>
          <w:rFonts w:ascii="Tahoma" w:hAnsi="Tahoma" w:cs="Tahoma"/>
        </w:rPr>
      </w:pPr>
    </w:p>
    <w:p w:rsidR="00076C20" w:rsidRPr="00076C20" w:rsidRDefault="00076C20" w:rsidP="00076C20">
      <w:pPr>
        <w:pStyle w:val="Prrafodelista"/>
        <w:widowControl w:val="0"/>
        <w:suppressAutoHyphens/>
        <w:autoSpaceDE w:val="0"/>
        <w:autoSpaceDN w:val="0"/>
        <w:adjustRightInd w:val="0"/>
        <w:ind w:left="567"/>
        <w:jc w:val="both"/>
        <w:rPr>
          <w:rFonts w:ascii="Tahoma" w:hAnsi="Tahoma" w:cs="Tahoma"/>
        </w:rPr>
      </w:pPr>
      <w:r w:rsidRPr="00076C20">
        <w:rPr>
          <w:rFonts w:ascii="Tahoma" w:hAnsi="Tahoma" w:cs="Tahoma"/>
        </w:rPr>
        <w:t xml:space="preserve">Más aún, si en la orden de compra antes citada también se especificó la descripción de los bienes ofertados, el cual era el mismo que obraba en las Bases del acotado proceso. Por lo tanto, el Contratista debió cumplir con sus obligaciones contractuales, máxime si durante el perfeccionamiento del contrato el Contratista no objetó ni observó la descripción del producto que solicitó la Entidad. </w:t>
      </w:r>
    </w:p>
    <w:p w:rsidR="00076C20" w:rsidRPr="00076C20" w:rsidRDefault="00076C20" w:rsidP="00076C20">
      <w:pPr>
        <w:pStyle w:val="Prrafodelista"/>
        <w:widowControl w:val="0"/>
        <w:suppressAutoHyphens/>
        <w:autoSpaceDE w:val="0"/>
        <w:autoSpaceDN w:val="0"/>
        <w:adjustRightInd w:val="0"/>
        <w:ind w:left="567"/>
        <w:rPr>
          <w:rFonts w:ascii="Tahoma" w:hAnsi="Tahoma" w:cs="Tahoma"/>
        </w:rPr>
      </w:pPr>
    </w:p>
    <w:p w:rsidR="00076C20" w:rsidRPr="00076C20" w:rsidRDefault="00076C20" w:rsidP="00076C20">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076C20">
        <w:rPr>
          <w:rFonts w:ascii="Tahoma" w:hAnsi="Tahoma" w:cs="Tahoma"/>
          <w:sz w:val="20"/>
          <w:szCs w:val="20"/>
        </w:rPr>
        <w:t>Sin perjuicio de lo expuesto, es pertinente pronunciarse respecto del tercer argumento de defensa del Contratista, en cuanto sostiene que, el requerimiento realizado por la Entidad, referido al Certificado de Licencia Microsoft, así como el CD de recuperación de S.O. no fueron solicitados en las especificaciones técnicas de las Bases, razón por la cual, la resolución del contrato no debió ser total sino parcial.</w:t>
      </w:r>
    </w:p>
    <w:p w:rsidR="00076C20" w:rsidRPr="00076C20" w:rsidRDefault="00076C20" w:rsidP="00076C20">
      <w:pPr>
        <w:pStyle w:val="Textoindependiente"/>
        <w:widowControl w:val="0"/>
        <w:suppressAutoHyphens/>
        <w:ind w:left="567"/>
        <w:rPr>
          <w:rFonts w:ascii="Tahoma" w:hAnsi="Tahoma" w:cs="Tahoma"/>
          <w:sz w:val="20"/>
          <w:szCs w:val="20"/>
        </w:rPr>
      </w:pPr>
    </w:p>
    <w:p w:rsidR="00076C20" w:rsidRPr="00076C20" w:rsidRDefault="00076C20" w:rsidP="00076C20">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76C20">
        <w:rPr>
          <w:rFonts w:ascii="Tahoma" w:hAnsi="Tahoma" w:cs="Tahoma"/>
          <w:sz w:val="20"/>
          <w:szCs w:val="20"/>
        </w:rPr>
        <w:t>Al respecto, es necesario traer a colación que mediante la Carta Notarial № 080-2010-PCM/OAA de fecha 24 de septiembre de 2010, la Entidad requirió al Contratista a fin que dentro del plazo de tres (03) días calendario cumpliera con subsanar las observaciones realizadas a los bienes internados el 06 de septiembre de 2010, conforme a las especificaciones técnicas de las Bases materializadas en la Orden de Compra № 365, bajo apercibimiento de proceder a la resolución contractual. Resulta, evidente entonces que la Entidad requirió al Contratista el cumplimiento de sus obligaciones contractuales, las cuales fueron conocidas de manera anticipada por el Contratista, y por las cuales no puede pretender justificarlas arguyendo hechos que no tienen sustento alguno, máxime si los requerimientos realizados por la Entidad, referidos a la entrega de Certificado de Licencia Microsoft, así como el CD de recuperación de S.O. fueron solicitados en el Capítulo III de las mencionadas Bases.</w:t>
      </w:r>
    </w:p>
    <w:p w:rsidR="00076C20" w:rsidRPr="00076C20" w:rsidRDefault="00076C20" w:rsidP="00076C20">
      <w:pPr>
        <w:widowControl w:val="0"/>
        <w:suppressAutoHyphens/>
        <w:autoSpaceDE w:val="0"/>
        <w:autoSpaceDN w:val="0"/>
        <w:adjustRightInd w:val="0"/>
        <w:ind w:left="567"/>
        <w:rPr>
          <w:rFonts w:ascii="Tahoma" w:hAnsi="Tahoma" w:cs="Tahoma"/>
          <w:sz w:val="20"/>
          <w:szCs w:val="20"/>
        </w:rPr>
      </w:pPr>
    </w:p>
    <w:p w:rsidR="00076C20" w:rsidRPr="00076C20" w:rsidRDefault="00076C20" w:rsidP="00076C20">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76C20">
        <w:rPr>
          <w:rFonts w:ascii="Tahoma" w:hAnsi="Tahoma" w:cs="Tahoma"/>
          <w:sz w:val="20"/>
          <w:szCs w:val="20"/>
        </w:rPr>
        <w:t xml:space="preserve">De otro lado, aún en el supuesto negado de que la Entidad le hubiera requerido erróneamente el cumplimiento de obligaciones no estipuladas en el contrato, el Contratista de no haber estado de acuerdo con las observaciones efectuadas o de haber surgido cualquier otra controversia al respecto, aquél tenía expedito su derecho a someter el conflicto a un proceso arbitral o a conciliación, en virtud de lo dispuesto en el artículo 170 del Reglamento, lo cual conforme a lo informado por la Entidad no ha tenido lugar. </w:t>
      </w:r>
    </w:p>
    <w:p w:rsidR="00076C20" w:rsidRPr="00076C20" w:rsidRDefault="00076C20" w:rsidP="00076C20">
      <w:pPr>
        <w:pStyle w:val="Prrafodelista"/>
        <w:rPr>
          <w:rFonts w:ascii="Tahoma" w:hAnsi="Tahoma" w:cs="Tahoma"/>
        </w:rPr>
      </w:pPr>
    </w:p>
    <w:p w:rsidR="00076C20" w:rsidRPr="00076C20" w:rsidRDefault="00076C20" w:rsidP="00076C20">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76C20">
        <w:rPr>
          <w:rFonts w:ascii="Tahoma" w:hAnsi="Tahoma" w:cs="Tahoma"/>
          <w:sz w:val="20"/>
          <w:szCs w:val="20"/>
        </w:rPr>
        <w:t xml:space="preserve">Finalmente, el recurrente señala que existe un error en la resolución del contrato, la misma que debió ser parcial y no total, al respecto el artículo 169 del Reglamento establece que la resolución parcial </w:t>
      </w:r>
      <w:r w:rsidRPr="00076C20">
        <w:rPr>
          <w:rFonts w:ascii="Tahoma" w:hAnsi="Tahoma" w:cs="Tahoma"/>
          <w:b/>
          <w:sz w:val="20"/>
          <w:szCs w:val="20"/>
          <w:u w:val="single"/>
        </w:rPr>
        <w:t>solo involucrará a aquella parte del contrato afectada por el incumplimiento y siempre que dicha parte sea separable e independiente del resto de las obligaciones contractuales</w:t>
      </w:r>
      <w:r w:rsidRPr="00076C20">
        <w:rPr>
          <w:rFonts w:ascii="Tahoma" w:hAnsi="Tahoma" w:cs="Tahoma"/>
          <w:sz w:val="20"/>
          <w:szCs w:val="20"/>
        </w:rPr>
        <w:t xml:space="preserve">, asimismo, </w:t>
      </w:r>
      <w:r w:rsidRPr="00076C20">
        <w:rPr>
          <w:rFonts w:ascii="Tahoma" w:hAnsi="Tahoma" w:cs="Tahoma"/>
          <w:b/>
          <w:sz w:val="20"/>
          <w:szCs w:val="20"/>
          <w:u w:val="single"/>
        </w:rPr>
        <w:t xml:space="preserve">se señala que de no hacerse tal precisión, se entenderá que la resolución será total en caso de persistir el incumplimiento. </w:t>
      </w:r>
    </w:p>
    <w:p w:rsidR="00076C20" w:rsidRPr="00076C20" w:rsidRDefault="00076C20" w:rsidP="00076C20">
      <w:pPr>
        <w:pStyle w:val="Prrafodelista"/>
        <w:rPr>
          <w:rFonts w:ascii="Tahoma" w:hAnsi="Tahoma" w:cs="Tahoma"/>
        </w:rPr>
      </w:pPr>
    </w:p>
    <w:p w:rsidR="00076C20" w:rsidRPr="00076C20" w:rsidRDefault="00076C20" w:rsidP="00076C20">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76C20">
        <w:rPr>
          <w:rFonts w:ascii="Tahoma" w:hAnsi="Tahoma" w:cs="Tahoma"/>
          <w:sz w:val="20"/>
          <w:szCs w:val="20"/>
        </w:rPr>
        <w:t xml:space="preserve">De conformidad con la norma antes acotada, corresponde a la parte afectada, en el presente caso a la Entidad,  determinar si la resolución del contrato que invoca es total o parcial, señalándose además que, de no hacerse tal precisión, </w:t>
      </w:r>
      <w:r w:rsidRPr="00076C20">
        <w:rPr>
          <w:rFonts w:ascii="Tahoma" w:hAnsi="Tahoma" w:cs="Tahoma"/>
          <w:b/>
          <w:sz w:val="20"/>
          <w:szCs w:val="20"/>
          <w:u w:val="single"/>
        </w:rPr>
        <w:t xml:space="preserve">dicha resolución será total en caso de persistir el incumplimiento. </w:t>
      </w:r>
    </w:p>
    <w:p w:rsidR="00076C20" w:rsidRPr="00076C20" w:rsidRDefault="00076C20" w:rsidP="00076C20">
      <w:pPr>
        <w:pStyle w:val="Prrafodelista"/>
        <w:rPr>
          <w:rFonts w:ascii="Tahoma" w:hAnsi="Tahoma" w:cs="Tahoma"/>
        </w:rPr>
      </w:pPr>
    </w:p>
    <w:p w:rsidR="00076C20" w:rsidRPr="00076C20" w:rsidRDefault="00076C20" w:rsidP="00076C20">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76C20">
        <w:rPr>
          <w:rFonts w:ascii="Tahoma" w:hAnsi="Tahoma" w:cs="Tahoma"/>
          <w:sz w:val="20"/>
          <w:szCs w:val="20"/>
        </w:rPr>
        <w:t xml:space="preserve">En ese sentido, este colegiado considera que no existe el error invocado toda vez que la Entidad al no precisar si la resolución del contrato es total o parcial, se entiende que la misma es total al persistir el incumplimiento, más aún, si este Colegiado ha constado fehacientemente que, de un lado, el Contratista no cumplió con hacer efectivo el cumplimento de sus obligaciones contractuales; y por el otro, que la obligación que tenía el Contratista era no sólo la entrega de los bienes adjudicados sino que éstos cumplan a cabalidad con las especificaciones técnicas contenidas en las Bases Administrativas. </w:t>
      </w:r>
    </w:p>
    <w:p w:rsidR="00076C20" w:rsidRPr="00076C20" w:rsidRDefault="00076C20" w:rsidP="00076C20">
      <w:pPr>
        <w:pStyle w:val="Prrafodelista"/>
        <w:rPr>
          <w:rFonts w:ascii="Tahoma" w:hAnsi="Tahoma" w:cs="Tahoma"/>
        </w:rPr>
      </w:pPr>
    </w:p>
    <w:p w:rsidR="00076C20" w:rsidRPr="00076C20" w:rsidRDefault="00076C20" w:rsidP="00076C20">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76C20">
        <w:rPr>
          <w:rFonts w:ascii="Tahoma" w:hAnsi="Tahoma" w:cs="Tahoma"/>
          <w:sz w:val="20"/>
          <w:szCs w:val="20"/>
        </w:rPr>
        <w:t xml:space="preserve">En ese orden de ideas, </w:t>
      </w:r>
      <w:r w:rsidRPr="00076C20">
        <w:rPr>
          <w:rFonts w:ascii="Tahoma" w:hAnsi="Tahoma" w:cs="Tahoma"/>
          <w:sz w:val="20"/>
          <w:szCs w:val="20"/>
          <w:lang w:val="es-MX"/>
        </w:rPr>
        <w:t xml:space="preserve">queda claro que la Entidad requirió al Contratista el cumplimiento de sus que sus obligaciones contractuales (24 de septiembre d 2010), los cuales debieron ser cumplidas en óptimas condiciones y conforme a las especificaciones técnicas solicitadas en las Bases. Pese a ello, ha quedado acreditado en el presente caso que, al </w:t>
      </w:r>
      <w:r w:rsidRPr="00076C20">
        <w:rPr>
          <w:rFonts w:ascii="Tahoma" w:hAnsi="Tahoma" w:cs="Tahoma"/>
          <w:sz w:val="20"/>
          <w:szCs w:val="20"/>
        </w:rPr>
        <w:t>27 de septiembre de 2010</w:t>
      </w:r>
      <w:r w:rsidRPr="00076C20">
        <w:rPr>
          <w:rFonts w:ascii="Tahoma" w:hAnsi="Tahoma" w:cs="Tahoma"/>
          <w:sz w:val="20"/>
          <w:szCs w:val="20"/>
          <w:lang w:val="es-MX"/>
        </w:rPr>
        <w:t>, fecha límite para el cumplimiento de sus obligaciones, el Consorcio no cumplió con las prestaciones que tenía a su cargo. Tal situación fáctica se infiere de lo informado por la Entidad, así como de las comunicaciones cursadas al Contratista.</w:t>
      </w:r>
    </w:p>
    <w:p w:rsidR="00076C20" w:rsidRPr="00076C20" w:rsidRDefault="00076C20" w:rsidP="00076C20">
      <w:pPr>
        <w:pStyle w:val="Prrafodelista"/>
        <w:rPr>
          <w:rFonts w:ascii="Tahoma" w:hAnsi="Tahoma" w:cs="Tahoma"/>
        </w:rPr>
      </w:pPr>
    </w:p>
    <w:p w:rsidR="00076C20" w:rsidRPr="00076C20" w:rsidRDefault="00076C20" w:rsidP="00076C20">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76C20">
        <w:rPr>
          <w:rFonts w:ascii="Tahoma" w:hAnsi="Tahoma" w:cs="Tahoma"/>
          <w:sz w:val="20"/>
          <w:szCs w:val="20"/>
        </w:rPr>
        <w:t xml:space="preserve">Así, pues, de acuerdo con lo establecido en el artículo 1314 del Código Civil, quien actúa con la diligencia ordinaria, no es imputable por la inejecución de la obligación o por su cumplimiento, parcial, tardío o defectuoso. </w:t>
      </w:r>
    </w:p>
    <w:p w:rsidR="00076C20" w:rsidRPr="00076C20" w:rsidRDefault="00076C20" w:rsidP="00076C20">
      <w:pPr>
        <w:pStyle w:val="Prrafodelista"/>
        <w:rPr>
          <w:rFonts w:ascii="Tahoma" w:hAnsi="Tahoma" w:cs="Tahoma"/>
        </w:rPr>
      </w:pPr>
    </w:p>
    <w:p w:rsidR="00076C20" w:rsidRPr="00076C20" w:rsidRDefault="00076C20" w:rsidP="00076C20">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76C20">
        <w:rPr>
          <w:rFonts w:ascii="Tahoma" w:hAnsi="Tahoma" w:cs="Tahoma"/>
          <w:sz w:val="20"/>
          <w:szCs w:val="20"/>
        </w:rPr>
        <w:t xml:space="preserve">A mayor abundamiento, respecto del incumplimiento de obligaciones, existe la presunción legal establecida en el artículo 1329 del Código Civil, según el cual aquél es producto de la </w:t>
      </w:r>
      <w:r w:rsidRPr="00076C20">
        <w:rPr>
          <w:rFonts w:ascii="Tahoma" w:hAnsi="Tahoma" w:cs="Tahoma"/>
          <w:sz w:val="20"/>
          <w:szCs w:val="20"/>
        </w:rPr>
        <w:lastRenderedPageBreak/>
        <w:t>falta de diligencia del deudor</w:t>
      </w:r>
      <w:r w:rsidRPr="00076C20">
        <w:rPr>
          <w:rStyle w:val="Refdenotaalpie"/>
          <w:rFonts w:ascii="Tahoma" w:hAnsi="Tahoma" w:cs="Tahoma"/>
          <w:sz w:val="20"/>
          <w:szCs w:val="20"/>
        </w:rPr>
        <w:footnoteReference w:id="8"/>
      </w:r>
      <w:r w:rsidRPr="00076C20">
        <w:rPr>
          <w:rFonts w:ascii="Tahoma" w:hAnsi="Tahoma" w:cs="Tahoma"/>
          <w:sz w:val="20"/>
          <w:szCs w:val="20"/>
        </w:rPr>
        <w:t>, lo que implica que es su deber demostrar lo contrario y acreditar que, no obstante haber actuado con la diligencia ordinaria exigida por la naturaleza de la prestación, le fue imposible cumplirla.</w:t>
      </w:r>
    </w:p>
    <w:p w:rsidR="00076C20" w:rsidRPr="00076C20" w:rsidRDefault="00076C20" w:rsidP="00076C20">
      <w:pPr>
        <w:pStyle w:val="Prrafodelista"/>
        <w:rPr>
          <w:rFonts w:ascii="Tahoma" w:hAnsi="Tahoma" w:cs="Tahoma"/>
        </w:rPr>
      </w:pPr>
    </w:p>
    <w:p w:rsidR="00076C20" w:rsidRPr="00076C20" w:rsidRDefault="00076C20" w:rsidP="00076C20">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76C20">
        <w:rPr>
          <w:rFonts w:ascii="Tahoma" w:hAnsi="Tahoma" w:cs="Tahoma"/>
          <w:sz w:val="20"/>
          <w:szCs w:val="20"/>
        </w:rPr>
        <w:t>Por consiguiente, considerando que el Contratista no ha aportado prueba alguna ni ha acreditado durante la tramitación del presente procedimiento administrativo sancionador que el incumplimiento del Orden de Compra № 365 de fecha 31 de agosto de 2010 se haya generado por causas ajenas a su voluntad, ni que haya actuado con la diligencia ordinaria debida, este Tribunal concluye que la resolución del citado contrato le resulta imputable.</w:t>
      </w:r>
    </w:p>
    <w:p w:rsidR="00076C20" w:rsidRPr="00076C20" w:rsidRDefault="00076C20" w:rsidP="00076C20">
      <w:pPr>
        <w:pStyle w:val="Prrafodelista"/>
        <w:rPr>
          <w:rFonts w:ascii="Tahoma" w:hAnsi="Tahoma" w:cs="Tahoma"/>
        </w:rPr>
      </w:pPr>
    </w:p>
    <w:p w:rsidR="00076C20" w:rsidRPr="00076C20" w:rsidRDefault="00076C20" w:rsidP="00076C20">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76C20">
        <w:rPr>
          <w:rFonts w:ascii="Tahoma" w:hAnsi="Tahoma" w:cs="Tahoma"/>
          <w:sz w:val="20"/>
          <w:szCs w:val="20"/>
        </w:rPr>
        <w:t>Por las consideraciones expuestas, y no habiéndose probado la existencia de causa justificante para el incumplimiento de las obligaciones del Contratista, este Colegiado determina que en el presente caso se ha configurado la causal tipificada en el literal b) del numeral 51.1 del artículo 51 de la Ley en concordancia con el literal b) del numeral 1) del artículo 237 del Reglamento, la cual se encuentra sancionada con inhabilitación temporal para ser postor y contratar con el Estado por un período no menor de uno (1) ni mayor de tres (3) años.</w:t>
      </w:r>
    </w:p>
    <w:p w:rsidR="00076C20" w:rsidRPr="00076C20" w:rsidRDefault="00076C20" w:rsidP="00076C20">
      <w:pPr>
        <w:pStyle w:val="Prrafodelista"/>
        <w:rPr>
          <w:rFonts w:ascii="Tahoma" w:hAnsi="Tahoma" w:cs="Tahoma"/>
        </w:rPr>
      </w:pPr>
    </w:p>
    <w:p w:rsidR="00076C20" w:rsidRPr="00076C20" w:rsidRDefault="00076C20" w:rsidP="00076C20">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76C20">
        <w:rPr>
          <w:rFonts w:ascii="Tahoma" w:hAnsi="Tahoma" w:cs="Tahoma"/>
          <w:sz w:val="20"/>
          <w:szCs w:val="20"/>
        </w:rPr>
        <w:t>A efecto de graduar la sanción administrativa a imponerse, debe considerarse los criterios establecidos en el artículo 245 del Reglamento</w:t>
      </w:r>
      <w:r w:rsidRPr="00076C20">
        <w:rPr>
          <w:rStyle w:val="Refdenotaalpie"/>
          <w:rFonts w:ascii="Tahoma" w:hAnsi="Tahoma" w:cs="Tahoma"/>
          <w:sz w:val="20"/>
          <w:szCs w:val="20"/>
        </w:rPr>
        <w:footnoteReference w:id="9"/>
      </w:r>
      <w:r w:rsidRPr="00076C20">
        <w:rPr>
          <w:rFonts w:ascii="Tahoma" w:hAnsi="Tahoma" w:cs="Tahoma"/>
          <w:sz w:val="20"/>
          <w:szCs w:val="20"/>
        </w:rPr>
        <w:t>.</w:t>
      </w:r>
    </w:p>
    <w:p w:rsidR="00076C20" w:rsidRPr="00076C20" w:rsidRDefault="00076C20" w:rsidP="00076C20">
      <w:pPr>
        <w:pStyle w:val="Prrafodelista"/>
        <w:rPr>
          <w:rFonts w:ascii="Tahoma" w:hAnsi="Tahoma" w:cs="Tahoma"/>
        </w:rPr>
      </w:pPr>
    </w:p>
    <w:p w:rsidR="00076C20" w:rsidRPr="00076C20" w:rsidRDefault="00076C20" w:rsidP="00076C20">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76C20">
        <w:rPr>
          <w:rFonts w:ascii="Tahoma" w:hAnsi="Tahoma" w:cs="Tahoma"/>
          <w:sz w:val="20"/>
          <w:szCs w:val="20"/>
        </w:rPr>
        <w:t>En ese sentido, en relación con la naturaleza de la infracción cometida, es importante señalar que la conducta efectuada por el Contratista reviste de una considerable gravedad en la medida que desde el momento en que se asumió un compromiso contractual frente a la Entidad, se encontraba llamada a cumplir cabalmente con lo ofrecido, máxime si es conocido que ante un eventual incumplimiento se verían seriamente afectados intereses de carácter público así como ha retrasado el cumplimiento de las metas institucionales de la Entidad.</w:t>
      </w:r>
    </w:p>
    <w:p w:rsidR="00076C20" w:rsidRPr="00076C20" w:rsidRDefault="00076C20" w:rsidP="00076C20">
      <w:pPr>
        <w:pStyle w:val="Prrafodelista"/>
        <w:rPr>
          <w:rFonts w:ascii="Tahoma" w:hAnsi="Tahoma" w:cs="Tahoma"/>
        </w:rPr>
      </w:pPr>
    </w:p>
    <w:p w:rsidR="00076C20" w:rsidRPr="00076C20" w:rsidRDefault="00076C20" w:rsidP="00076C20">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76C20">
        <w:rPr>
          <w:rFonts w:ascii="Tahoma" w:hAnsi="Tahoma" w:cs="Tahoma"/>
          <w:sz w:val="20"/>
          <w:szCs w:val="20"/>
        </w:rPr>
        <w:t xml:space="preserve">En igual sentido, en cuanto al criterio de intencionalidad del infractor, este Colegiado considera que en tanto, la conducta llevada a cabo por parte del Contratista consistente en la resolución del contrato, no permite a este Colegiado determinar la existencia de intencionalidad de su parte en la medida que no se ha evidenciado la consecución de un </w:t>
      </w:r>
      <w:r w:rsidRPr="00076C20">
        <w:rPr>
          <w:rFonts w:ascii="Tahoma" w:hAnsi="Tahoma" w:cs="Tahoma"/>
          <w:sz w:val="20"/>
          <w:szCs w:val="20"/>
        </w:rPr>
        <w:lastRenderedPageBreak/>
        <w:t>fin ulterior; no obstante lo cual, si resulta clara una falta de diligencia por parte de dicho Contratista, toda vez que ésta debió cumplir con sus obligaciones pactadas la citada orden de compra.</w:t>
      </w:r>
    </w:p>
    <w:p w:rsidR="00076C20" w:rsidRPr="00076C20" w:rsidRDefault="00076C20" w:rsidP="00076C20">
      <w:pPr>
        <w:pStyle w:val="Prrafodelista"/>
        <w:rPr>
          <w:rFonts w:ascii="Tahoma" w:hAnsi="Tahoma" w:cs="Tahoma"/>
        </w:rPr>
      </w:pPr>
    </w:p>
    <w:p w:rsidR="00076C20" w:rsidRPr="00076C20" w:rsidRDefault="00076C20" w:rsidP="00076C20">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76C20">
        <w:rPr>
          <w:rFonts w:ascii="Tahoma" w:hAnsi="Tahoma" w:cs="Tahoma"/>
          <w:sz w:val="20"/>
          <w:szCs w:val="20"/>
        </w:rPr>
        <w:t xml:space="preserve">De esta manera, en lo que atañe al daño causado, es relevante tomar en cuenta, por un lado, la cuantía que subyace la orden de compra, por el monto de S/. 18 103.50 nuevos soles y, por el otro, que su incumplimiento por parte del Contratista generó un daño a la Entidad, causando el retraso en el cumplimiento de sus objetivos, el cual había sido programado y presupuestado con anticipación. </w:t>
      </w:r>
    </w:p>
    <w:p w:rsidR="00076C20" w:rsidRPr="00076C20" w:rsidRDefault="00076C20" w:rsidP="00076C20">
      <w:pPr>
        <w:pStyle w:val="Prrafodelista"/>
        <w:rPr>
          <w:rFonts w:ascii="Tahoma" w:hAnsi="Tahoma" w:cs="Tahoma"/>
        </w:rPr>
      </w:pPr>
    </w:p>
    <w:p w:rsidR="00076C20" w:rsidRPr="00076C20" w:rsidRDefault="00076C20" w:rsidP="00076C20">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76C20">
        <w:rPr>
          <w:rFonts w:ascii="Tahoma" w:hAnsi="Tahoma" w:cs="Tahoma"/>
          <w:sz w:val="20"/>
          <w:szCs w:val="20"/>
        </w:rPr>
        <w:t>Sin perjuicio de lo anterior, respecto de las condiciones del infractor y de su conducta procesal durante la sustanciación del presente procedimiento administrativo sancionador, abona a favor del infractor la ausencia de antecedentes en la comisión de infracciones, así como que durante la sustanciación del presente procedimiento administrativo sancionador el Contratista ha efectuado la presentación de sus descargos.</w:t>
      </w:r>
    </w:p>
    <w:p w:rsidR="00076C20" w:rsidRPr="00076C20" w:rsidRDefault="00076C20" w:rsidP="00076C20">
      <w:pPr>
        <w:pStyle w:val="Prrafodelista"/>
        <w:rPr>
          <w:rFonts w:ascii="Tahoma" w:hAnsi="Tahoma" w:cs="Tahoma"/>
        </w:rPr>
      </w:pPr>
    </w:p>
    <w:p w:rsidR="00076C20" w:rsidRPr="00076C20" w:rsidRDefault="00076C20" w:rsidP="00076C20">
      <w:pPr>
        <w:widowControl w:val="0"/>
        <w:numPr>
          <w:ilvl w:val="0"/>
          <w:numId w:val="4"/>
        </w:numPr>
        <w:suppressAutoHyphens/>
        <w:autoSpaceDE w:val="0"/>
        <w:autoSpaceDN w:val="0"/>
        <w:adjustRightInd w:val="0"/>
        <w:ind w:left="567" w:hanging="567"/>
        <w:jc w:val="both"/>
        <w:rPr>
          <w:rFonts w:ascii="Tahoma" w:hAnsi="Tahoma" w:cs="Tahoma"/>
          <w:sz w:val="20"/>
          <w:szCs w:val="20"/>
        </w:rPr>
      </w:pPr>
      <w:r w:rsidRPr="00076C20">
        <w:rPr>
          <w:rFonts w:ascii="Tahoma" w:hAnsi="Tahoma" w:cs="Tahoma"/>
          <w:sz w:val="20"/>
          <w:szCs w:val="20"/>
        </w:rPr>
        <w:t xml:space="preserve">Finalmente, resulta importante traer a colación el </w:t>
      </w:r>
      <w:r w:rsidRPr="00076C20">
        <w:rPr>
          <w:rFonts w:ascii="Tahoma" w:hAnsi="Tahoma" w:cs="Tahoma"/>
          <w:i/>
          <w:sz w:val="20"/>
          <w:szCs w:val="20"/>
        </w:rPr>
        <w:t>principio de razonabilidad</w:t>
      </w:r>
      <w:r w:rsidRPr="00076C20">
        <w:rPr>
          <w:rFonts w:ascii="Tahoma" w:hAnsi="Tahoma" w:cs="Tahoma"/>
          <w:sz w:val="20"/>
          <w:szCs w:val="20"/>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1776B6" w:rsidRPr="00076C20" w:rsidRDefault="001776B6" w:rsidP="001776B6">
      <w:pPr>
        <w:pStyle w:val="Prrafodelista"/>
        <w:jc w:val="both"/>
        <w:rPr>
          <w:rFonts w:ascii="Tahoma" w:hAnsi="Tahoma" w:cs="Tahoma"/>
        </w:rPr>
      </w:pPr>
    </w:p>
    <w:p w:rsidR="00DA127C" w:rsidRPr="00076C20" w:rsidRDefault="00DA127C" w:rsidP="00DA127C">
      <w:pPr>
        <w:ind w:left="567" w:firstLine="567"/>
        <w:jc w:val="both"/>
        <w:rPr>
          <w:rFonts w:ascii="Tahoma" w:hAnsi="Tahoma" w:cs="Tahoma"/>
          <w:sz w:val="20"/>
          <w:szCs w:val="20"/>
        </w:rPr>
      </w:pPr>
      <w:r w:rsidRPr="00076C20">
        <w:rPr>
          <w:rFonts w:ascii="Tahoma" w:hAnsi="Tahoma" w:cs="Tahoma"/>
          <w:color w:val="000000"/>
          <w:sz w:val="20"/>
          <w:szCs w:val="20"/>
        </w:rPr>
        <w:t xml:space="preserve">Por estos fundamentos, de conformidad con el informe del Vocal Ponente </w:t>
      </w:r>
      <w:r w:rsidRPr="00076C20">
        <w:rPr>
          <w:rFonts w:ascii="Tahoma" w:hAnsi="Tahoma" w:cs="Tahoma"/>
          <w:sz w:val="20"/>
          <w:szCs w:val="20"/>
        </w:rPr>
        <w:t>Doctor Carlos Vicente Navas Rondón</w:t>
      </w:r>
      <w:r w:rsidRPr="00076C20">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E13E6B" w:rsidRPr="00076C20" w:rsidRDefault="00E13E6B" w:rsidP="00E13E6B">
      <w:pPr>
        <w:jc w:val="both"/>
        <w:rPr>
          <w:rFonts w:ascii="Tahoma" w:hAnsi="Tahoma" w:cs="Tahoma"/>
          <w:sz w:val="20"/>
          <w:szCs w:val="20"/>
        </w:rPr>
      </w:pPr>
    </w:p>
    <w:p w:rsidR="00DD1154" w:rsidRPr="00076C20" w:rsidRDefault="00DD1154" w:rsidP="00E13E6B">
      <w:pPr>
        <w:jc w:val="both"/>
        <w:rPr>
          <w:rFonts w:ascii="Tahoma" w:hAnsi="Tahoma" w:cs="Tahoma"/>
          <w:sz w:val="20"/>
          <w:szCs w:val="20"/>
        </w:rPr>
      </w:pPr>
    </w:p>
    <w:p w:rsidR="00E13E6B" w:rsidRPr="00076C20" w:rsidRDefault="00E13E6B" w:rsidP="00E13E6B">
      <w:pPr>
        <w:ind w:firstLine="567"/>
        <w:jc w:val="both"/>
        <w:rPr>
          <w:rFonts w:ascii="Tahoma" w:hAnsi="Tahoma" w:cs="Tahoma"/>
          <w:b/>
          <w:sz w:val="20"/>
          <w:szCs w:val="20"/>
        </w:rPr>
      </w:pPr>
      <w:r w:rsidRPr="00076C20">
        <w:rPr>
          <w:rFonts w:ascii="Tahoma" w:hAnsi="Tahoma" w:cs="Tahoma"/>
          <w:b/>
          <w:sz w:val="20"/>
          <w:szCs w:val="20"/>
        </w:rPr>
        <w:t xml:space="preserve">LA SALA RESUELVE: </w:t>
      </w:r>
    </w:p>
    <w:p w:rsidR="00E13E6B" w:rsidRPr="00076C20" w:rsidRDefault="00E13E6B" w:rsidP="00E13E6B">
      <w:pPr>
        <w:ind w:left="400"/>
        <w:jc w:val="both"/>
        <w:rPr>
          <w:rFonts w:ascii="Tahoma" w:hAnsi="Tahoma" w:cs="Tahoma"/>
          <w:snapToGrid w:val="0"/>
          <w:sz w:val="20"/>
          <w:szCs w:val="20"/>
        </w:rPr>
      </w:pPr>
    </w:p>
    <w:p w:rsidR="00076C20" w:rsidRPr="00076C20" w:rsidRDefault="00076C20" w:rsidP="00076C20">
      <w:pPr>
        <w:pStyle w:val="Textoindependiente2"/>
        <w:numPr>
          <w:ilvl w:val="0"/>
          <w:numId w:val="16"/>
        </w:numPr>
        <w:tabs>
          <w:tab w:val="clear" w:pos="8100"/>
          <w:tab w:val="num" w:pos="540"/>
        </w:tabs>
        <w:spacing w:after="0" w:line="240" w:lineRule="auto"/>
        <w:ind w:left="540" w:hanging="540"/>
        <w:jc w:val="both"/>
        <w:rPr>
          <w:rFonts w:ascii="Tahoma" w:hAnsi="Tahoma" w:cs="Tahoma"/>
          <w:sz w:val="20"/>
          <w:szCs w:val="20"/>
        </w:rPr>
      </w:pPr>
      <w:r w:rsidRPr="00076C20">
        <w:rPr>
          <w:rFonts w:ascii="Tahoma" w:hAnsi="Tahoma" w:cs="Tahoma"/>
          <w:sz w:val="20"/>
          <w:szCs w:val="20"/>
        </w:rPr>
        <w:t>Imponer al señor CESAR ROLANDO SILVA POLO sanción administrativa de inhabilitación temporal por el período de doce (12) meses en sus derechos de participar en procesos de selección y contratar con el Estado, por la comisión de la infracción tipificada en el literal b) del numeral 51.1 del artículo 51 de la Ley en concordancia con el literal b) del numeral 1) del artículo 237 del Reglamento, la cual entrará en vigencia a partir del sexto día hábil siguiente de su notificación</w:t>
      </w:r>
      <w:r w:rsidR="00206094">
        <w:rPr>
          <w:rFonts w:ascii="Tahoma" w:hAnsi="Tahoma" w:cs="Tahoma"/>
          <w:sz w:val="20"/>
          <w:szCs w:val="20"/>
        </w:rPr>
        <w:t>.</w:t>
      </w:r>
    </w:p>
    <w:p w:rsidR="00076C20" w:rsidRPr="00076C20" w:rsidRDefault="00076C20" w:rsidP="00076C20">
      <w:pPr>
        <w:pStyle w:val="Textoindependiente2"/>
        <w:spacing w:after="0" w:line="240" w:lineRule="auto"/>
        <w:ind w:left="540"/>
        <w:jc w:val="both"/>
        <w:rPr>
          <w:rFonts w:ascii="Tahoma" w:hAnsi="Tahoma" w:cs="Tahoma"/>
          <w:sz w:val="20"/>
          <w:szCs w:val="20"/>
        </w:rPr>
      </w:pPr>
    </w:p>
    <w:p w:rsidR="00076C20" w:rsidRPr="00076C20" w:rsidRDefault="00076C20" w:rsidP="00076C20">
      <w:pPr>
        <w:pStyle w:val="Textoindependiente2"/>
        <w:numPr>
          <w:ilvl w:val="0"/>
          <w:numId w:val="16"/>
        </w:numPr>
        <w:tabs>
          <w:tab w:val="clear" w:pos="8100"/>
          <w:tab w:val="num" w:pos="540"/>
        </w:tabs>
        <w:spacing w:after="0" w:line="240" w:lineRule="auto"/>
        <w:ind w:left="540" w:hanging="540"/>
        <w:jc w:val="both"/>
        <w:rPr>
          <w:rFonts w:ascii="Tahoma" w:hAnsi="Tahoma" w:cs="Tahoma"/>
          <w:sz w:val="20"/>
          <w:szCs w:val="20"/>
        </w:rPr>
      </w:pPr>
      <w:r w:rsidRPr="00076C20">
        <w:rPr>
          <w:rFonts w:ascii="Tahoma" w:hAnsi="Tahoma" w:cs="Tahoma"/>
          <w:sz w:val="20"/>
          <w:szCs w:val="20"/>
        </w:rPr>
        <w:lastRenderedPageBreak/>
        <w:t>Poner la presente Resolución en conocimiento de la Subdirección del Registro Nacional de Proveedores del Organismo Supervisor de las Contrataciones del Estado (OSCE), para las anotaciones de ley.</w:t>
      </w:r>
    </w:p>
    <w:p w:rsidR="00E13E6B" w:rsidRPr="00076C20" w:rsidRDefault="00E13E6B" w:rsidP="00E13E6B">
      <w:pPr>
        <w:pStyle w:val="Prrafodelista"/>
        <w:jc w:val="both"/>
        <w:rPr>
          <w:rFonts w:ascii="Tahoma" w:hAnsi="Tahoma" w:cs="Tahoma"/>
        </w:rPr>
      </w:pPr>
    </w:p>
    <w:p w:rsidR="00E13E6B" w:rsidRPr="00076C20" w:rsidRDefault="00E13E6B" w:rsidP="00E13E6B">
      <w:pPr>
        <w:pStyle w:val="Textoindependiente21"/>
        <w:ind w:firstLine="360"/>
        <w:rPr>
          <w:rFonts w:cs="Tahoma"/>
          <w:sz w:val="20"/>
        </w:rPr>
      </w:pPr>
      <w:r w:rsidRPr="00076C20">
        <w:rPr>
          <w:rFonts w:cs="Tahoma"/>
          <w:sz w:val="20"/>
        </w:rPr>
        <w:t>Regístrese, comuníquese y publíquese.</w:t>
      </w:r>
    </w:p>
    <w:p w:rsidR="00E13E6B" w:rsidRPr="00076C20" w:rsidRDefault="00E13E6B" w:rsidP="00E13E6B">
      <w:pPr>
        <w:jc w:val="both"/>
        <w:rPr>
          <w:rFonts w:ascii="Tahoma" w:hAnsi="Tahoma" w:cs="Tahoma"/>
          <w:b/>
          <w:bCs/>
          <w:shadow/>
          <w:sz w:val="20"/>
          <w:szCs w:val="20"/>
        </w:rPr>
      </w:pPr>
    </w:p>
    <w:p w:rsidR="00A52C81" w:rsidRPr="00076C20" w:rsidRDefault="00A52C81" w:rsidP="00E13E6B">
      <w:pPr>
        <w:jc w:val="both"/>
        <w:rPr>
          <w:rFonts w:ascii="Tahoma" w:hAnsi="Tahoma" w:cs="Tahoma"/>
          <w:b/>
          <w:bCs/>
          <w:shadow/>
          <w:sz w:val="20"/>
          <w:szCs w:val="20"/>
        </w:rPr>
      </w:pPr>
    </w:p>
    <w:p w:rsidR="006E5BF8" w:rsidRPr="00076C20" w:rsidRDefault="006E5BF8" w:rsidP="00E13E6B">
      <w:pPr>
        <w:jc w:val="both"/>
        <w:rPr>
          <w:rFonts w:ascii="Tahoma" w:hAnsi="Tahoma" w:cs="Tahoma"/>
          <w:b/>
          <w:bCs/>
          <w:shadow/>
          <w:sz w:val="20"/>
          <w:szCs w:val="20"/>
        </w:rPr>
      </w:pPr>
    </w:p>
    <w:p w:rsidR="00DA127C" w:rsidRPr="00076C20" w:rsidRDefault="00DA127C" w:rsidP="00E13E6B">
      <w:pPr>
        <w:jc w:val="both"/>
        <w:rPr>
          <w:rFonts w:ascii="Tahoma" w:hAnsi="Tahoma" w:cs="Tahoma"/>
          <w:b/>
          <w:bCs/>
          <w:shadow/>
          <w:sz w:val="20"/>
          <w:szCs w:val="20"/>
        </w:rPr>
      </w:pPr>
    </w:p>
    <w:p w:rsidR="00DA127C" w:rsidRPr="00076C20" w:rsidRDefault="00DA127C" w:rsidP="00E13E6B">
      <w:pPr>
        <w:jc w:val="both"/>
        <w:rPr>
          <w:rFonts w:ascii="Tahoma" w:hAnsi="Tahoma" w:cs="Tahoma"/>
          <w:b/>
          <w:bCs/>
          <w:shadow/>
          <w:sz w:val="20"/>
          <w:szCs w:val="20"/>
        </w:rPr>
      </w:pPr>
    </w:p>
    <w:p w:rsidR="00DA127C" w:rsidRPr="00076C20" w:rsidRDefault="00DA127C" w:rsidP="00E13E6B">
      <w:pPr>
        <w:jc w:val="both"/>
        <w:rPr>
          <w:rFonts w:ascii="Tahoma" w:hAnsi="Tahoma" w:cs="Tahoma"/>
          <w:b/>
          <w:bCs/>
          <w:shadow/>
          <w:sz w:val="20"/>
          <w:szCs w:val="20"/>
        </w:rPr>
      </w:pPr>
    </w:p>
    <w:p w:rsidR="00EC4953" w:rsidRPr="00076C20" w:rsidRDefault="00EC4953" w:rsidP="00E13E6B">
      <w:pPr>
        <w:jc w:val="both"/>
        <w:rPr>
          <w:rFonts w:ascii="Tahoma" w:hAnsi="Tahoma" w:cs="Tahoma"/>
          <w:b/>
          <w:bCs/>
          <w:shadow/>
          <w:sz w:val="20"/>
          <w:szCs w:val="20"/>
        </w:rPr>
      </w:pPr>
    </w:p>
    <w:p w:rsidR="00E13E6B" w:rsidRPr="00076C20" w:rsidRDefault="00E13E6B" w:rsidP="00295C50">
      <w:pPr>
        <w:jc w:val="center"/>
        <w:rPr>
          <w:rFonts w:ascii="Tahoma" w:hAnsi="Tahoma" w:cs="Tahoma"/>
          <w:b/>
          <w:bCs/>
          <w:shadow/>
          <w:sz w:val="20"/>
          <w:szCs w:val="20"/>
        </w:rPr>
      </w:pPr>
      <w:r w:rsidRPr="00076C20">
        <w:rPr>
          <w:rFonts w:ascii="Tahoma" w:hAnsi="Tahoma" w:cs="Tahoma"/>
          <w:b/>
          <w:bCs/>
          <w:shadow/>
          <w:sz w:val="20"/>
          <w:szCs w:val="20"/>
        </w:rPr>
        <w:t>PRESIDENTE</w:t>
      </w:r>
    </w:p>
    <w:p w:rsidR="00E13E6B" w:rsidRPr="00076C20" w:rsidRDefault="00E13E6B" w:rsidP="00C5251B">
      <w:pPr>
        <w:jc w:val="center"/>
        <w:rPr>
          <w:rFonts w:ascii="Tahoma" w:hAnsi="Tahoma" w:cs="Tahoma"/>
          <w:b/>
          <w:bCs/>
          <w:shadow/>
          <w:sz w:val="20"/>
          <w:szCs w:val="20"/>
        </w:rPr>
      </w:pPr>
    </w:p>
    <w:p w:rsidR="00E13E6B" w:rsidRPr="00076C20" w:rsidRDefault="00E13E6B" w:rsidP="00C5251B">
      <w:pPr>
        <w:jc w:val="center"/>
        <w:rPr>
          <w:rFonts w:ascii="Tahoma" w:hAnsi="Tahoma" w:cs="Tahoma"/>
          <w:b/>
          <w:bCs/>
          <w:shadow/>
          <w:sz w:val="20"/>
          <w:szCs w:val="20"/>
        </w:rPr>
      </w:pPr>
    </w:p>
    <w:p w:rsidR="00DA127C" w:rsidRPr="00076C20" w:rsidRDefault="00DA127C" w:rsidP="00C5251B">
      <w:pPr>
        <w:jc w:val="center"/>
        <w:rPr>
          <w:rFonts w:ascii="Tahoma" w:hAnsi="Tahoma" w:cs="Tahoma"/>
          <w:b/>
          <w:bCs/>
          <w:shadow/>
          <w:sz w:val="20"/>
          <w:szCs w:val="20"/>
        </w:rPr>
      </w:pPr>
    </w:p>
    <w:p w:rsidR="00DA127C" w:rsidRPr="00076C20" w:rsidRDefault="00DA127C" w:rsidP="00C5251B">
      <w:pPr>
        <w:jc w:val="center"/>
        <w:rPr>
          <w:rFonts w:ascii="Tahoma" w:hAnsi="Tahoma" w:cs="Tahoma"/>
          <w:b/>
          <w:bCs/>
          <w:shadow/>
          <w:sz w:val="20"/>
          <w:szCs w:val="20"/>
        </w:rPr>
      </w:pPr>
    </w:p>
    <w:p w:rsidR="00E13E6B" w:rsidRPr="00076C20" w:rsidRDefault="00E13E6B" w:rsidP="00C5251B">
      <w:pPr>
        <w:jc w:val="center"/>
        <w:rPr>
          <w:rFonts w:ascii="Tahoma" w:hAnsi="Tahoma" w:cs="Tahoma"/>
          <w:b/>
          <w:bCs/>
          <w:shadow/>
          <w:sz w:val="20"/>
          <w:szCs w:val="20"/>
        </w:rPr>
      </w:pPr>
    </w:p>
    <w:p w:rsidR="00E13E6B" w:rsidRPr="00076C20" w:rsidRDefault="00E13E6B" w:rsidP="00C5251B">
      <w:pPr>
        <w:jc w:val="center"/>
        <w:rPr>
          <w:rFonts w:ascii="Tahoma" w:hAnsi="Tahoma" w:cs="Tahoma"/>
          <w:b/>
          <w:shadow/>
          <w:sz w:val="20"/>
          <w:szCs w:val="20"/>
        </w:rPr>
      </w:pPr>
      <w:r w:rsidRPr="00076C20">
        <w:rPr>
          <w:rFonts w:ascii="Tahoma" w:hAnsi="Tahoma" w:cs="Tahoma"/>
          <w:b/>
          <w:shadow/>
          <w:sz w:val="20"/>
          <w:szCs w:val="20"/>
        </w:rPr>
        <w:t xml:space="preserve">VOCAL           </w:t>
      </w:r>
      <w:r w:rsidRPr="00076C20">
        <w:rPr>
          <w:rFonts w:ascii="Tahoma" w:hAnsi="Tahoma" w:cs="Tahoma"/>
          <w:b/>
          <w:shadow/>
          <w:sz w:val="20"/>
          <w:szCs w:val="20"/>
        </w:rPr>
        <w:tab/>
      </w:r>
      <w:r w:rsidRPr="00076C20">
        <w:rPr>
          <w:rFonts w:ascii="Tahoma" w:hAnsi="Tahoma" w:cs="Tahoma"/>
          <w:b/>
          <w:shadow/>
          <w:sz w:val="20"/>
          <w:szCs w:val="20"/>
        </w:rPr>
        <w:tab/>
        <w:t xml:space="preserve">                                                                VOCAL</w:t>
      </w:r>
    </w:p>
    <w:p w:rsidR="00635F2E" w:rsidRPr="00076C20" w:rsidRDefault="00635F2E" w:rsidP="00E13E6B">
      <w:pPr>
        <w:jc w:val="both"/>
        <w:rPr>
          <w:rFonts w:ascii="Tahoma" w:hAnsi="Tahoma" w:cs="Tahoma"/>
          <w:sz w:val="20"/>
          <w:szCs w:val="20"/>
        </w:rPr>
      </w:pPr>
    </w:p>
    <w:p w:rsidR="00635F2E" w:rsidRPr="00076C20" w:rsidRDefault="00635F2E" w:rsidP="00E13E6B">
      <w:pPr>
        <w:jc w:val="both"/>
        <w:rPr>
          <w:rFonts w:ascii="Tahoma" w:hAnsi="Tahoma" w:cs="Tahoma"/>
          <w:sz w:val="20"/>
          <w:szCs w:val="20"/>
        </w:rPr>
      </w:pPr>
    </w:p>
    <w:p w:rsidR="00635F2E" w:rsidRPr="00076C20" w:rsidRDefault="00635F2E" w:rsidP="00E13E6B">
      <w:pPr>
        <w:jc w:val="both"/>
        <w:rPr>
          <w:rFonts w:ascii="Tahoma" w:hAnsi="Tahoma" w:cs="Tahoma"/>
          <w:sz w:val="20"/>
          <w:szCs w:val="20"/>
        </w:rPr>
      </w:pPr>
    </w:p>
    <w:p w:rsidR="00E13E6B" w:rsidRPr="00076C20" w:rsidRDefault="00E13E6B" w:rsidP="00E13E6B">
      <w:pPr>
        <w:jc w:val="both"/>
        <w:rPr>
          <w:rFonts w:ascii="Tahoma" w:hAnsi="Tahoma" w:cs="Tahoma"/>
          <w:sz w:val="20"/>
          <w:szCs w:val="20"/>
        </w:rPr>
      </w:pPr>
      <w:r w:rsidRPr="00076C20">
        <w:rPr>
          <w:rFonts w:ascii="Tahoma" w:hAnsi="Tahoma" w:cs="Tahoma"/>
          <w:sz w:val="20"/>
          <w:szCs w:val="20"/>
        </w:rPr>
        <w:t>ss.</w:t>
      </w:r>
    </w:p>
    <w:p w:rsidR="00351F6F" w:rsidRPr="00076C20" w:rsidRDefault="00351F6F" w:rsidP="00351F6F">
      <w:pPr>
        <w:jc w:val="both"/>
        <w:rPr>
          <w:rFonts w:ascii="Tahoma" w:hAnsi="Tahoma" w:cs="Tahoma"/>
          <w:sz w:val="20"/>
          <w:szCs w:val="20"/>
        </w:rPr>
      </w:pPr>
      <w:r w:rsidRPr="00076C20">
        <w:rPr>
          <w:rFonts w:ascii="Tahoma" w:hAnsi="Tahoma" w:cs="Tahoma"/>
          <w:sz w:val="20"/>
          <w:szCs w:val="20"/>
        </w:rPr>
        <w:t>Navas Rondón</w:t>
      </w:r>
    </w:p>
    <w:p w:rsidR="00351F6F" w:rsidRPr="00076C20" w:rsidRDefault="00351F6F" w:rsidP="00351F6F">
      <w:pPr>
        <w:jc w:val="both"/>
        <w:rPr>
          <w:rFonts w:ascii="Tahoma" w:hAnsi="Tahoma" w:cs="Tahoma"/>
          <w:color w:val="000000"/>
          <w:sz w:val="20"/>
          <w:szCs w:val="20"/>
        </w:rPr>
      </w:pPr>
      <w:r w:rsidRPr="00076C20">
        <w:rPr>
          <w:rFonts w:ascii="Tahoma" w:hAnsi="Tahoma" w:cs="Tahoma"/>
          <w:color w:val="000000"/>
          <w:sz w:val="20"/>
          <w:szCs w:val="20"/>
        </w:rPr>
        <w:t xml:space="preserve">Ramírez Maynetto </w:t>
      </w:r>
    </w:p>
    <w:p w:rsidR="00351F6F" w:rsidRPr="00076C20" w:rsidRDefault="00351F6F" w:rsidP="00351F6F">
      <w:pPr>
        <w:jc w:val="both"/>
        <w:rPr>
          <w:rFonts w:ascii="Tahoma" w:hAnsi="Tahoma" w:cs="Tahoma"/>
          <w:sz w:val="20"/>
          <w:szCs w:val="20"/>
        </w:rPr>
      </w:pPr>
      <w:r w:rsidRPr="00076C20">
        <w:rPr>
          <w:rFonts w:ascii="Tahoma" w:hAnsi="Tahoma" w:cs="Tahoma"/>
          <w:sz w:val="20"/>
          <w:szCs w:val="20"/>
        </w:rPr>
        <w:t>Basulto Liewald.</w:t>
      </w:r>
    </w:p>
    <w:p w:rsidR="002C6D86" w:rsidRPr="00076C20" w:rsidRDefault="00212DCC" w:rsidP="00351F6F">
      <w:pPr>
        <w:jc w:val="both"/>
        <w:rPr>
          <w:rFonts w:ascii="Tahoma" w:hAnsi="Tahoma" w:cs="Tahoma"/>
          <w:sz w:val="20"/>
          <w:szCs w:val="20"/>
        </w:rPr>
      </w:pPr>
    </w:p>
    <w:sectPr w:rsidR="002C6D86" w:rsidRPr="00076C20" w:rsidSect="009E0365">
      <w:headerReference w:type="default" r:id="rId7"/>
      <w:footerReference w:type="default" r:id="rId8"/>
      <w:pgSz w:w="11906" w:h="16838"/>
      <w:pgMar w:top="3345" w:right="1644" w:bottom="1644" w:left="1644" w:header="709" w:footer="129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2DCC" w:rsidRDefault="00212DCC" w:rsidP="00E13E6B">
      <w:r>
        <w:separator/>
      </w:r>
    </w:p>
  </w:endnote>
  <w:endnote w:type="continuationSeparator" w:id="1">
    <w:p w:rsidR="00212DCC" w:rsidRDefault="00212DCC" w:rsidP="00E13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6F0" w:rsidRDefault="00212DCC" w:rsidP="00E066F0">
    <w:pPr>
      <w:pStyle w:val="Piedepgina"/>
      <w:jc w:val="center"/>
    </w:pPr>
  </w:p>
  <w:p w:rsidR="00E066F0" w:rsidRDefault="005B0EEA" w:rsidP="00E066F0">
    <w:pPr>
      <w:pStyle w:val="Piedepgina"/>
      <w:jc w:val="center"/>
    </w:pPr>
    <w:r>
      <w:t xml:space="preserve">Página </w:t>
    </w:r>
    <w:r w:rsidR="001B4BA2">
      <w:fldChar w:fldCharType="begin"/>
    </w:r>
    <w:r>
      <w:instrText>PAGE</w:instrText>
    </w:r>
    <w:r w:rsidR="001B4BA2">
      <w:fldChar w:fldCharType="separate"/>
    </w:r>
    <w:r w:rsidR="007B32A4">
      <w:rPr>
        <w:noProof/>
      </w:rPr>
      <w:t>1</w:t>
    </w:r>
    <w:r w:rsidR="001B4BA2">
      <w:fldChar w:fldCharType="end"/>
    </w:r>
    <w:r w:rsidRPr="006214E4">
      <w:t xml:space="preserve"> de </w:t>
    </w:r>
    <w:r w:rsidR="001B4BA2">
      <w:fldChar w:fldCharType="begin"/>
    </w:r>
    <w:r>
      <w:instrText>NUMPAGES</w:instrText>
    </w:r>
    <w:r w:rsidR="001B4BA2">
      <w:fldChar w:fldCharType="separate"/>
    </w:r>
    <w:r w:rsidR="007B32A4">
      <w:rPr>
        <w:noProof/>
      </w:rPr>
      <w:t>14</w:t>
    </w:r>
    <w:r w:rsidR="001B4BA2">
      <w:fldChar w:fldCharType="end"/>
    </w:r>
  </w:p>
  <w:p w:rsidR="00E066F0" w:rsidRPr="00223795" w:rsidRDefault="00212DCC" w:rsidP="00E066F0">
    <w:pPr>
      <w:pStyle w:val="Piedepgina"/>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2DCC" w:rsidRDefault="00212DCC" w:rsidP="00E13E6B">
      <w:r>
        <w:separator/>
      </w:r>
    </w:p>
  </w:footnote>
  <w:footnote w:type="continuationSeparator" w:id="1">
    <w:p w:rsidR="00212DCC" w:rsidRDefault="00212DCC" w:rsidP="00E13E6B">
      <w:r>
        <w:continuationSeparator/>
      </w:r>
    </w:p>
  </w:footnote>
  <w:footnote w:id="2">
    <w:p w:rsidR="00076C20" w:rsidRPr="00227330" w:rsidRDefault="00076C20" w:rsidP="00076C20">
      <w:pPr>
        <w:pStyle w:val="Textonotapie"/>
        <w:jc w:val="both"/>
        <w:rPr>
          <w:sz w:val="15"/>
          <w:szCs w:val="15"/>
        </w:rPr>
      </w:pPr>
      <w:r w:rsidRPr="00227330">
        <w:rPr>
          <w:rStyle w:val="Refdenotaalpie"/>
          <w:sz w:val="15"/>
          <w:szCs w:val="15"/>
        </w:rPr>
        <w:footnoteRef/>
      </w:r>
      <w:r w:rsidRPr="00227330">
        <w:rPr>
          <w:sz w:val="15"/>
          <w:szCs w:val="15"/>
        </w:rPr>
        <w:t xml:space="preserve"> </w:t>
      </w:r>
      <w:r w:rsidRPr="00227330">
        <w:rPr>
          <w:b/>
          <w:sz w:val="15"/>
          <w:szCs w:val="15"/>
        </w:rPr>
        <w:t>Artículo 51.- Infracciones y sanciones administrativas</w:t>
      </w:r>
    </w:p>
    <w:p w:rsidR="00076C20" w:rsidRPr="00227330" w:rsidRDefault="00076C20" w:rsidP="00076C20">
      <w:pPr>
        <w:pStyle w:val="Textonotapie"/>
        <w:jc w:val="both"/>
        <w:rPr>
          <w:sz w:val="15"/>
          <w:szCs w:val="15"/>
        </w:rPr>
      </w:pPr>
      <w:r w:rsidRPr="00227330">
        <w:rPr>
          <w:sz w:val="15"/>
          <w:szCs w:val="15"/>
        </w:rPr>
        <w:t>51.1 Infracciones</w:t>
      </w:r>
    </w:p>
    <w:p w:rsidR="00076C20" w:rsidRPr="00227330" w:rsidRDefault="00076C20" w:rsidP="00076C20">
      <w:pPr>
        <w:pStyle w:val="Textonotapie"/>
        <w:jc w:val="both"/>
        <w:rPr>
          <w:sz w:val="15"/>
          <w:szCs w:val="15"/>
        </w:rPr>
      </w:pPr>
      <w:r w:rsidRPr="00227330">
        <w:rPr>
          <w:sz w:val="15"/>
          <w:szCs w:val="15"/>
        </w:rPr>
        <w:t>Se impondrá sanción administrativa a los proveedores, participantes, postores y/o contratistas que:</w:t>
      </w:r>
    </w:p>
    <w:p w:rsidR="00076C20" w:rsidRPr="00227330" w:rsidRDefault="00076C20" w:rsidP="00076C20">
      <w:pPr>
        <w:pStyle w:val="Textonotapie"/>
        <w:jc w:val="both"/>
        <w:rPr>
          <w:sz w:val="15"/>
          <w:szCs w:val="15"/>
        </w:rPr>
      </w:pPr>
      <w:r w:rsidRPr="00227330">
        <w:rPr>
          <w:sz w:val="15"/>
          <w:szCs w:val="15"/>
        </w:rPr>
        <w:t>(…)</w:t>
      </w:r>
    </w:p>
    <w:p w:rsidR="00076C20" w:rsidRPr="00227330" w:rsidRDefault="00076C20" w:rsidP="00076C20">
      <w:pPr>
        <w:pStyle w:val="Textonotapie"/>
        <w:jc w:val="both"/>
        <w:rPr>
          <w:sz w:val="15"/>
          <w:szCs w:val="15"/>
        </w:rPr>
      </w:pPr>
      <w:r w:rsidRPr="00227330">
        <w:rPr>
          <w:sz w:val="15"/>
          <w:szCs w:val="15"/>
        </w:rPr>
        <w:t>b) Den lugar a la resolución del contrato, orden de compra o de servicios por causal atribuible a su  parte;</w:t>
      </w:r>
    </w:p>
  </w:footnote>
  <w:footnote w:id="3">
    <w:p w:rsidR="00076C20" w:rsidRPr="00227330" w:rsidRDefault="00076C20" w:rsidP="00076C20">
      <w:pPr>
        <w:pStyle w:val="Textonotapie"/>
        <w:jc w:val="both"/>
        <w:rPr>
          <w:sz w:val="15"/>
          <w:szCs w:val="15"/>
        </w:rPr>
      </w:pPr>
      <w:r w:rsidRPr="00227330">
        <w:rPr>
          <w:rStyle w:val="Refdenotaalpie"/>
          <w:sz w:val="15"/>
          <w:szCs w:val="15"/>
        </w:rPr>
        <w:footnoteRef/>
      </w:r>
      <w:r w:rsidRPr="00227330">
        <w:rPr>
          <w:sz w:val="15"/>
          <w:szCs w:val="15"/>
        </w:rPr>
        <w:t xml:space="preserve"> </w:t>
      </w:r>
      <w:r w:rsidRPr="00227330">
        <w:rPr>
          <w:b/>
          <w:bCs/>
          <w:sz w:val="15"/>
          <w:szCs w:val="15"/>
        </w:rPr>
        <w:t>Artículo 237.- Causales de aplicación de sanción a los proveedores, participantes, postores y contratistas</w:t>
      </w:r>
    </w:p>
    <w:p w:rsidR="00076C20" w:rsidRPr="00227330" w:rsidRDefault="00076C20" w:rsidP="00076C20">
      <w:pPr>
        <w:pStyle w:val="Textonotapie"/>
        <w:jc w:val="both"/>
        <w:rPr>
          <w:sz w:val="15"/>
          <w:szCs w:val="15"/>
        </w:rPr>
      </w:pPr>
      <w:r w:rsidRPr="00227330">
        <w:rPr>
          <w:sz w:val="15"/>
          <w:szCs w:val="15"/>
        </w:rPr>
        <w:t>El Tribunal impondrá la sanción administrativa de inhabilitación temporal o definitiva a los proveedores, participantes, postores y/o contratistas que:</w:t>
      </w:r>
    </w:p>
    <w:p w:rsidR="00076C20" w:rsidRPr="00227330" w:rsidRDefault="00076C20" w:rsidP="00076C20">
      <w:pPr>
        <w:pStyle w:val="Textonotapie"/>
        <w:jc w:val="both"/>
        <w:rPr>
          <w:sz w:val="15"/>
          <w:szCs w:val="15"/>
        </w:rPr>
      </w:pPr>
      <w:r w:rsidRPr="00227330">
        <w:rPr>
          <w:sz w:val="15"/>
          <w:szCs w:val="15"/>
        </w:rPr>
        <w:t>(…)</w:t>
      </w:r>
    </w:p>
    <w:p w:rsidR="00076C20" w:rsidRPr="00227330" w:rsidRDefault="00076C20" w:rsidP="00076C20">
      <w:pPr>
        <w:pStyle w:val="Textonotapie"/>
        <w:jc w:val="both"/>
        <w:rPr>
          <w:sz w:val="15"/>
          <w:szCs w:val="15"/>
        </w:rPr>
      </w:pPr>
      <w:r w:rsidRPr="00227330">
        <w:rPr>
          <w:sz w:val="15"/>
          <w:szCs w:val="15"/>
        </w:rPr>
        <w:t>2) Den lugar a la resolución del contrato, orden de compra o de servicios por causal atribuible a su parte.</w:t>
      </w:r>
    </w:p>
    <w:p w:rsidR="00076C20" w:rsidRPr="00237395" w:rsidRDefault="00076C20" w:rsidP="00076C20">
      <w:pPr>
        <w:pStyle w:val="Textonotapie"/>
        <w:jc w:val="both"/>
        <w:rPr>
          <w:sz w:val="18"/>
          <w:szCs w:val="18"/>
        </w:rPr>
      </w:pPr>
    </w:p>
  </w:footnote>
  <w:footnote w:id="4">
    <w:p w:rsidR="00076C20" w:rsidRDefault="00076C20" w:rsidP="00076C20">
      <w:pPr>
        <w:pStyle w:val="Textonotapie"/>
        <w:jc w:val="both"/>
      </w:pPr>
      <w:r>
        <w:rPr>
          <w:rStyle w:val="Refdenotaalpie"/>
        </w:rPr>
        <w:footnoteRef/>
      </w:r>
      <w:r>
        <w:t xml:space="preserve"> </w:t>
      </w:r>
      <w:r w:rsidRPr="00432674">
        <w:rPr>
          <w:sz w:val="18"/>
          <w:szCs w:val="18"/>
        </w:rPr>
        <w:t>Documento obrante a folio 40 de autos</w:t>
      </w:r>
      <w:r>
        <w:t>.</w:t>
      </w:r>
    </w:p>
  </w:footnote>
  <w:footnote w:id="5">
    <w:p w:rsidR="00076C20" w:rsidRPr="00CD30A1" w:rsidRDefault="00076C20" w:rsidP="00076C20">
      <w:pPr>
        <w:pStyle w:val="Textonotapie"/>
        <w:rPr>
          <w:rFonts w:cs="Tahoma"/>
          <w:sz w:val="18"/>
          <w:szCs w:val="18"/>
        </w:rPr>
      </w:pPr>
      <w:r w:rsidRPr="00C12921">
        <w:rPr>
          <w:rStyle w:val="Refdenotaalpie"/>
          <w:rFonts w:cs="Tahoma"/>
          <w:sz w:val="16"/>
          <w:szCs w:val="16"/>
        </w:rPr>
        <w:footnoteRef/>
      </w:r>
      <w:r w:rsidRPr="00C12921">
        <w:rPr>
          <w:rFonts w:cs="Tahoma"/>
          <w:sz w:val="16"/>
          <w:szCs w:val="16"/>
        </w:rPr>
        <w:t xml:space="preserve"> Acuerdo dictado en el marco de los entonces vigentes Texto Único Ordenado de la Ley de Contrataciones y Adquisiciones del Estado, aprobado por Decreto Supremo № 012-2001-PCM, y su Reglamento, aprobado por Decreto Supremo № 013-2001-PCM, pero que resulta igualmente aplicable al caso de autos por referirse a la misma materia.</w:t>
      </w:r>
    </w:p>
  </w:footnote>
  <w:footnote w:id="6">
    <w:p w:rsidR="00076C20" w:rsidRPr="0069745D" w:rsidRDefault="00076C20" w:rsidP="00076C20">
      <w:pPr>
        <w:pStyle w:val="Textonotapie"/>
        <w:tabs>
          <w:tab w:val="left" w:pos="284"/>
        </w:tabs>
        <w:ind w:left="284" w:hanging="284"/>
        <w:rPr>
          <w:b/>
          <w:bCs/>
          <w:color w:val="000000"/>
          <w:sz w:val="16"/>
          <w:szCs w:val="16"/>
        </w:rPr>
      </w:pPr>
      <w:r w:rsidRPr="0069745D">
        <w:rPr>
          <w:rStyle w:val="Refdenotaalpie"/>
          <w:rFonts w:cs="Tahoma"/>
          <w:sz w:val="16"/>
          <w:szCs w:val="16"/>
        </w:rPr>
        <w:footnoteRef/>
      </w:r>
      <w:r w:rsidRPr="0069745D">
        <w:rPr>
          <w:rFonts w:cs="Tahoma"/>
          <w:sz w:val="16"/>
          <w:szCs w:val="16"/>
        </w:rPr>
        <w:t xml:space="preserve"> </w:t>
      </w:r>
      <w:r w:rsidRPr="0069745D">
        <w:rPr>
          <w:b/>
          <w:bCs/>
          <w:color w:val="000000"/>
          <w:sz w:val="16"/>
          <w:szCs w:val="16"/>
        </w:rPr>
        <w:t>Artículo 170.- Efectos de la resolución.-</w:t>
      </w:r>
    </w:p>
    <w:p w:rsidR="00076C20" w:rsidRPr="0069745D" w:rsidRDefault="00076C20" w:rsidP="00076C20">
      <w:pPr>
        <w:pStyle w:val="Textonotapie"/>
        <w:tabs>
          <w:tab w:val="left" w:pos="284"/>
        </w:tabs>
        <w:ind w:left="284" w:hanging="60"/>
        <w:rPr>
          <w:bCs/>
          <w:color w:val="000000"/>
          <w:sz w:val="16"/>
          <w:szCs w:val="16"/>
        </w:rPr>
      </w:pPr>
      <w:r w:rsidRPr="0069745D">
        <w:rPr>
          <w:bCs/>
          <w:color w:val="000000"/>
          <w:sz w:val="16"/>
          <w:szCs w:val="16"/>
        </w:rPr>
        <w:t>(…)</w:t>
      </w:r>
    </w:p>
    <w:p w:rsidR="00076C20" w:rsidRPr="00D1498F" w:rsidRDefault="00076C20" w:rsidP="00076C20">
      <w:pPr>
        <w:pStyle w:val="Textonotapie"/>
        <w:ind w:left="284"/>
        <w:rPr>
          <w:rFonts w:cs="Tahoma"/>
        </w:rPr>
      </w:pPr>
      <w:r w:rsidRPr="0069745D">
        <w:rPr>
          <w:color w:val="000000"/>
          <w:sz w:val="16"/>
          <w:szCs w:val="16"/>
        </w:rPr>
        <w:t xml:space="preserve">Cualquier controversia relacionada con la resolución del contrato podrá ser sometida por la parte interesada a conciliación y/o arbitraje dentro de los </w:t>
      </w:r>
      <w:r w:rsidRPr="0069745D">
        <w:rPr>
          <w:b/>
          <w:color w:val="000000"/>
          <w:sz w:val="16"/>
          <w:szCs w:val="16"/>
          <w:u w:val="single"/>
        </w:rPr>
        <w:t>quince (15) días hábiles</w:t>
      </w:r>
      <w:r w:rsidRPr="0069745D">
        <w:rPr>
          <w:color w:val="000000"/>
          <w:sz w:val="16"/>
          <w:szCs w:val="16"/>
        </w:rPr>
        <w:t xml:space="preserve"> siguientes de comunicada la resolución. Vencido este plazo sin que se haya iniciado ninguno de estos procedimientos, se entenderá que la resolución del contrato ha quedado consentida. </w:t>
      </w:r>
    </w:p>
  </w:footnote>
  <w:footnote w:id="7">
    <w:p w:rsidR="00076C20" w:rsidRDefault="00076C20" w:rsidP="00076C20">
      <w:pPr>
        <w:pStyle w:val="Textonotapie"/>
      </w:pPr>
      <w:r>
        <w:rPr>
          <w:rStyle w:val="Refdenotaalpie"/>
        </w:rPr>
        <w:footnoteRef/>
      </w:r>
      <w:r>
        <w:t xml:space="preserve"> Ver documento obrante a fojas 087 de autos.</w:t>
      </w:r>
    </w:p>
  </w:footnote>
  <w:footnote w:id="8">
    <w:p w:rsidR="00076C20" w:rsidRPr="00DB2292" w:rsidRDefault="00076C20" w:rsidP="00076C20">
      <w:pPr>
        <w:pStyle w:val="Textonotapie"/>
        <w:rPr>
          <w:rFonts w:cs="Tahoma"/>
          <w:sz w:val="16"/>
          <w:szCs w:val="16"/>
        </w:rPr>
      </w:pPr>
      <w:r w:rsidRPr="00DB2292">
        <w:rPr>
          <w:rStyle w:val="Refdenotaalpie"/>
          <w:rFonts w:cs="Tahoma"/>
          <w:sz w:val="16"/>
          <w:szCs w:val="16"/>
        </w:rPr>
        <w:footnoteRef/>
      </w:r>
      <w:r w:rsidRPr="00DB2292">
        <w:rPr>
          <w:rFonts w:cs="Tahoma"/>
          <w:sz w:val="16"/>
          <w:szCs w:val="16"/>
        </w:rPr>
        <w:t xml:space="preserve"> </w:t>
      </w:r>
      <w:r w:rsidRPr="00DB2292">
        <w:rPr>
          <w:rFonts w:cs="Tahoma"/>
          <w:b/>
          <w:sz w:val="16"/>
          <w:szCs w:val="16"/>
        </w:rPr>
        <w:t>Artículo 1329.-</w:t>
      </w:r>
      <w:r w:rsidRPr="00DB2292">
        <w:rPr>
          <w:rFonts w:cs="Tahoma"/>
          <w:sz w:val="16"/>
          <w:szCs w:val="16"/>
        </w:rPr>
        <w:t xml:space="preserve"> Se presume que la inejecución de la obligación o su cumplimiento parcial, tardío o defectuoso obedece a culpa leve del deudor.</w:t>
      </w:r>
    </w:p>
    <w:p w:rsidR="00076C20" w:rsidRPr="00DB2292" w:rsidRDefault="00076C20" w:rsidP="00076C20">
      <w:pPr>
        <w:pStyle w:val="Textonotapie"/>
        <w:rPr>
          <w:rFonts w:cs="Tahoma"/>
          <w:sz w:val="16"/>
          <w:szCs w:val="16"/>
        </w:rPr>
      </w:pPr>
    </w:p>
  </w:footnote>
  <w:footnote w:id="9">
    <w:p w:rsidR="00076C20" w:rsidRPr="00F45A12" w:rsidRDefault="00076C20" w:rsidP="00076C20">
      <w:pPr>
        <w:pStyle w:val="Textonotapie"/>
        <w:rPr>
          <w:b/>
          <w:sz w:val="16"/>
          <w:szCs w:val="16"/>
          <w:lang w:val="es-ES_tradnl"/>
        </w:rPr>
      </w:pPr>
      <w:r w:rsidRPr="00F45A12">
        <w:rPr>
          <w:rStyle w:val="Refdenotaalpie"/>
          <w:sz w:val="16"/>
          <w:szCs w:val="16"/>
        </w:rPr>
        <w:footnoteRef/>
      </w:r>
      <w:r w:rsidRPr="00F45A12">
        <w:rPr>
          <w:b/>
          <w:sz w:val="16"/>
          <w:szCs w:val="16"/>
        </w:rPr>
        <w:t xml:space="preserve"> </w:t>
      </w:r>
      <w:r w:rsidRPr="00F45A12">
        <w:rPr>
          <w:b/>
          <w:sz w:val="16"/>
          <w:szCs w:val="16"/>
          <w:lang w:val="es-ES_tradnl"/>
        </w:rPr>
        <w:t>Artículo 245.- Determinación gradual de la sanción.-</w:t>
      </w:r>
    </w:p>
    <w:p w:rsidR="00076C20" w:rsidRPr="00F45A12" w:rsidRDefault="00076C20" w:rsidP="00076C20">
      <w:pPr>
        <w:pStyle w:val="Textonotapie"/>
        <w:rPr>
          <w:sz w:val="16"/>
          <w:szCs w:val="16"/>
          <w:lang w:val="es-ES_tradnl"/>
        </w:rPr>
      </w:pPr>
      <w:r w:rsidRPr="00F45A12">
        <w:rPr>
          <w:sz w:val="16"/>
          <w:szCs w:val="16"/>
          <w:lang w:val="es-ES_tradnl"/>
        </w:rPr>
        <w:t>Para graduar la sanción de inhabilitación temporal a imponerse conforme a las disposiciones del presente Título, se considerarán los siguientes criterios:</w:t>
      </w:r>
    </w:p>
    <w:p w:rsidR="00076C20" w:rsidRPr="00F45A12" w:rsidRDefault="00076C20" w:rsidP="00076C20">
      <w:pPr>
        <w:pStyle w:val="Textonotapie"/>
        <w:rPr>
          <w:sz w:val="16"/>
          <w:szCs w:val="16"/>
          <w:lang w:val="es-ES_tradnl"/>
        </w:rPr>
      </w:pPr>
      <w:r w:rsidRPr="00F45A12">
        <w:rPr>
          <w:sz w:val="16"/>
          <w:szCs w:val="16"/>
          <w:lang w:val="es-ES_tradnl"/>
        </w:rPr>
        <w:t>1) Naturaleza de la infracción.</w:t>
      </w:r>
    </w:p>
    <w:p w:rsidR="00076C20" w:rsidRPr="00F45A12" w:rsidRDefault="00076C20" w:rsidP="00076C20">
      <w:pPr>
        <w:pStyle w:val="Textonotapie"/>
        <w:rPr>
          <w:sz w:val="16"/>
          <w:szCs w:val="16"/>
          <w:lang w:val="es-ES_tradnl"/>
        </w:rPr>
      </w:pPr>
      <w:r w:rsidRPr="00F45A12">
        <w:rPr>
          <w:sz w:val="16"/>
          <w:szCs w:val="16"/>
          <w:lang w:val="es-ES_tradnl"/>
        </w:rPr>
        <w:t>2) Intencionalidad del infractor.</w:t>
      </w:r>
    </w:p>
    <w:p w:rsidR="00076C20" w:rsidRPr="00F45A12" w:rsidRDefault="00076C20" w:rsidP="00076C20">
      <w:pPr>
        <w:pStyle w:val="Textonotapie"/>
        <w:rPr>
          <w:sz w:val="16"/>
          <w:szCs w:val="16"/>
          <w:lang w:val="es-ES_tradnl"/>
        </w:rPr>
      </w:pPr>
      <w:r w:rsidRPr="00F45A12">
        <w:rPr>
          <w:sz w:val="16"/>
          <w:szCs w:val="16"/>
          <w:lang w:val="es-ES_tradnl"/>
        </w:rPr>
        <w:t>3) Daño causado.</w:t>
      </w:r>
    </w:p>
    <w:p w:rsidR="00076C20" w:rsidRPr="00F45A12" w:rsidRDefault="00076C20" w:rsidP="00076C20">
      <w:pPr>
        <w:pStyle w:val="Textonotapie"/>
        <w:rPr>
          <w:sz w:val="16"/>
          <w:szCs w:val="16"/>
          <w:lang w:val="es-ES_tradnl"/>
        </w:rPr>
      </w:pPr>
      <w:r w:rsidRPr="00F45A12">
        <w:rPr>
          <w:sz w:val="16"/>
          <w:szCs w:val="16"/>
          <w:lang w:val="es-ES_tradnl"/>
        </w:rPr>
        <w:t>4) Reiterancia</w:t>
      </w:r>
    </w:p>
    <w:p w:rsidR="00076C20" w:rsidRPr="00F45A12" w:rsidRDefault="00076C20" w:rsidP="00076C20">
      <w:pPr>
        <w:pStyle w:val="Textonotapie"/>
        <w:rPr>
          <w:sz w:val="16"/>
          <w:szCs w:val="16"/>
          <w:lang w:val="es-ES_tradnl"/>
        </w:rPr>
      </w:pPr>
      <w:r w:rsidRPr="00F45A12">
        <w:rPr>
          <w:sz w:val="16"/>
          <w:szCs w:val="16"/>
          <w:lang w:val="es-ES_tradnl"/>
        </w:rPr>
        <w:t>5) El reconocimiento de la infracción cometida antes de que sea detectada.</w:t>
      </w:r>
    </w:p>
    <w:p w:rsidR="00076C20" w:rsidRPr="00F45A12" w:rsidRDefault="00076C20" w:rsidP="00076C20">
      <w:pPr>
        <w:pStyle w:val="Textonotapie"/>
        <w:rPr>
          <w:sz w:val="16"/>
          <w:szCs w:val="16"/>
          <w:lang w:val="es-ES_tradnl"/>
        </w:rPr>
      </w:pPr>
      <w:r w:rsidRPr="00F45A12">
        <w:rPr>
          <w:sz w:val="16"/>
          <w:szCs w:val="16"/>
          <w:lang w:val="es-ES_tradnl"/>
        </w:rPr>
        <w:t>6) Circunstancias de tiempo, lugar y modo.</w:t>
      </w:r>
    </w:p>
    <w:p w:rsidR="00076C20" w:rsidRPr="00F45A12" w:rsidRDefault="00076C20" w:rsidP="00076C20">
      <w:pPr>
        <w:pStyle w:val="Textonotapie"/>
        <w:rPr>
          <w:sz w:val="16"/>
          <w:szCs w:val="16"/>
          <w:lang w:val="es-ES_tradnl"/>
        </w:rPr>
      </w:pPr>
      <w:r w:rsidRPr="00F45A12">
        <w:rPr>
          <w:sz w:val="16"/>
          <w:szCs w:val="16"/>
          <w:lang w:val="es-ES_tradnl"/>
        </w:rPr>
        <w:t>7) Condiciones del infractor.</w:t>
      </w:r>
    </w:p>
    <w:p w:rsidR="00076C20" w:rsidRPr="00F45A12" w:rsidRDefault="00076C20" w:rsidP="00076C20">
      <w:pPr>
        <w:pStyle w:val="Textonotapie"/>
        <w:rPr>
          <w:sz w:val="16"/>
          <w:szCs w:val="16"/>
          <w:lang w:val="es-ES_tradnl"/>
        </w:rPr>
      </w:pPr>
      <w:r w:rsidRPr="00F45A12">
        <w:rPr>
          <w:sz w:val="16"/>
          <w:szCs w:val="16"/>
          <w:lang w:val="es-ES_tradnl"/>
        </w:rPr>
        <w:t>8) Conducta procesa del infractor.</w:t>
      </w:r>
    </w:p>
    <w:p w:rsidR="00076C20" w:rsidRPr="002B1AB9" w:rsidRDefault="00076C20" w:rsidP="00076C20">
      <w:pPr>
        <w:pStyle w:val="Textonotapie"/>
        <w:rPr>
          <w:sz w:val="18"/>
          <w:szCs w:val="18"/>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2A4" w:rsidRDefault="007B32A4" w:rsidP="007B32A4">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7B32A4" w:rsidRDefault="007B32A4" w:rsidP="007B32A4">
    <w:pPr>
      <w:pStyle w:val="Encabezado"/>
      <w:rPr>
        <w:noProof/>
      </w:rPr>
    </w:pPr>
  </w:p>
  <w:p w:rsidR="007B32A4" w:rsidRDefault="007B32A4" w:rsidP="007B32A4">
    <w:pPr>
      <w:pStyle w:val="Encabezado"/>
      <w:rPr>
        <w:noProof/>
      </w:rPr>
    </w:pPr>
  </w:p>
  <w:p w:rsidR="007B32A4" w:rsidRDefault="007B32A4" w:rsidP="007B32A4">
    <w:pPr>
      <w:pStyle w:val="Encabezado"/>
      <w:rPr>
        <w:noProof/>
      </w:rPr>
    </w:pPr>
  </w:p>
  <w:p w:rsidR="007B32A4" w:rsidRDefault="007B32A4" w:rsidP="007B32A4">
    <w:pPr>
      <w:pStyle w:val="Encabezado"/>
      <w:jc w:val="center"/>
    </w:pPr>
    <w:r>
      <w:rPr>
        <w:rFonts w:ascii="Monotype Corsiva" w:hAnsi="Monotype Corsiva"/>
        <w:b/>
        <w:sz w:val="44"/>
        <w:szCs w:val="44"/>
      </w:rPr>
      <w:t xml:space="preserve">Resolución Nº   </w:t>
    </w:r>
    <w:r>
      <w:rPr>
        <w:rFonts w:ascii="Tahoma" w:hAnsi="Tahoma" w:cs="Tahoma"/>
        <w:b/>
        <w:sz w:val="44"/>
        <w:szCs w:val="44"/>
      </w:rPr>
      <w:t>890-2011-TC-S1</w:t>
    </w:r>
  </w:p>
  <w:p w:rsidR="007B32A4" w:rsidRDefault="007B32A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D82"/>
    <w:multiLevelType w:val="hybridMultilevel"/>
    <w:tmpl w:val="B22A7B0C"/>
    <w:lvl w:ilvl="0" w:tplc="D7A8BF70">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3FA3E39"/>
    <w:multiLevelType w:val="hybridMultilevel"/>
    <w:tmpl w:val="63AC2896"/>
    <w:lvl w:ilvl="0" w:tplc="666C9DE2">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48E5AC7"/>
    <w:multiLevelType w:val="hybridMultilevel"/>
    <w:tmpl w:val="AD7CEC18"/>
    <w:lvl w:ilvl="0" w:tplc="0E54F300">
      <w:start w:val="1"/>
      <w:numFmt w:val="decimal"/>
      <w:lvlText w:val="%1."/>
      <w:lvlJc w:val="left"/>
      <w:pPr>
        <w:tabs>
          <w:tab w:val="num" w:pos="720"/>
        </w:tabs>
        <w:ind w:left="720" w:hanging="360"/>
      </w:pPr>
      <w:rPr>
        <w:b/>
        <w:sz w:val="20"/>
        <w:szCs w:val="20"/>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498875FC">
      <w:start w:val="1"/>
      <w:numFmt w:val="lowerLetter"/>
      <w:lvlText w:val="%5."/>
      <w:lvlJc w:val="left"/>
      <w:pPr>
        <w:ind w:left="3930" w:hanging="69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96E7451"/>
    <w:multiLevelType w:val="hybridMultilevel"/>
    <w:tmpl w:val="45E23DBA"/>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0D89661A"/>
    <w:multiLevelType w:val="hybridMultilevel"/>
    <w:tmpl w:val="63F06F2C"/>
    <w:lvl w:ilvl="0" w:tplc="D69A56F8">
      <w:start w:val="1"/>
      <w:numFmt w:val="decimal"/>
      <w:lvlText w:val="%1."/>
      <w:lvlJc w:val="left"/>
      <w:pPr>
        <w:tabs>
          <w:tab w:val="num" w:pos="596"/>
        </w:tabs>
        <w:ind w:left="596"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65109CF8">
      <w:start w:val="1"/>
      <w:numFmt w:val="lowerRoman"/>
      <w:lvlText w:val="(%3)"/>
      <w:lvlJc w:val="left"/>
      <w:pPr>
        <w:tabs>
          <w:tab w:val="num" w:pos="2700"/>
        </w:tabs>
        <w:ind w:left="2700" w:hanging="720"/>
      </w:pPr>
      <w:rPr>
        <w:rFonts w:hint="default"/>
        <w:b/>
        <w:sz w:val="20"/>
        <w:szCs w:val="20"/>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31D60A9"/>
    <w:multiLevelType w:val="hybridMultilevel"/>
    <w:tmpl w:val="1A801A96"/>
    <w:lvl w:ilvl="0" w:tplc="3BB04CAE">
      <w:start w:val="1"/>
      <w:numFmt w:val="decimal"/>
      <w:lvlText w:val="%1."/>
      <w:lvlJc w:val="left"/>
      <w:pPr>
        <w:tabs>
          <w:tab w:val="num" w:pos="720"/>
        </w:tabs>
        <w:ind w:left="720" w:hanging="360"/>
      </w:pPr>
      <w:rPr>
        <w:b/>
      </w:rPr>
    </w:lvl>
    <w:lvl w:ilvl="1" w:tplc="0C0A0019">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180361FF"/>
    <w:multiLevelType w:val="hybridMultilevel"/>
    <w:tmpl w:val="634A8E34"/>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nsid w:val="1FD61B9D"/>
    <w:multiLevelType w:val="hybridMultilevel"/>
    <w:tmpl w:val="0540BA38"/>
    <w:lvl w:ilvl="0" w:tplc="0C0A0015">
      <w:start w:val="1"/>
      <w:numFmt w:val="upperLetter"/>
      <w:lvlText w:val="%1."/>
      <w:lvlJc w:val="left"/>
      <w:pPr>
        <w:ind w:left="720" w:hanging="360"/>
      </w:pPr>
    </w:lvl>
    <w:lvl w:ilvl="1" w:tplc="9C085FFC">
      <w:start w:val="1"/>
      <w:numFmt w:val="decimal"/>
      <w:lvlText w:val="%2."/>
      <w:lvlJc w:val="left"/>
      <w:pPr>
        <w:tabs>
          <w:tab w:val="num" w:pos="1440"/>
        </w:tabs>
        <w:ind w:left="144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nsid w:val="2CCF2AFD"/>
    <w:multiLevelType w:val="hybridMultilevel"/>
    <w:tmpl w:val="ADB452B8"/>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nsid w:val="2DFC5248"/>
    <w:multiLevelType w:val="hybridMultilevel"/>
    <w:tmpl w:val="921CE842"/>
    <w:lvl w:ilvl="0" w:tplc="F44A618E">
      <w:start w:val="1"/>
      <w:numFmt w:val="lowerRoman"/>
      <w:lvlText w:val="(%1)"/>
      <w:lvlJc w:val="lef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0">
    <w:nsid w:val="2E720AC6"/>
    <w:multiLevelType w:val="hybridMultilevel"/>
    <w:tmpl w:val="18446698"/>
    <w:lvl w:ilvl="0" w:tplc="2C762992">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1">
    <w:nsid w:val="3468407A"/>
    <w:multiLevelType w:val="hybridMultilevel"/>
    <w:tmpl w:val="314ED194"/>
    <w:lvl w:ilvl="0" w:tplc="C1AC6AE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2">
    <w:nsid w:val="3E7D0E0B"/>
    <w:multiLevelType w:val="hybridMultilevel"/>
    <w:tmpl w:val="DBB4219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408F6B27"/>
    <w:multiLevelType w:val="hybridMultilevel"/>
    <w:tmpl w:val="4684A2BA"/>
    <w:lvl w:ilvl="0" w:tplc="F5C055C0">
      <w:start w:val="1"/>
      <w:numFmt w:val="decimal"/>
      <w:lvlText w:val="%1."/>
      <w:lvlJc w:val="left"/>
      <w:pPr>
        <w:tabs>
          <w:tab w:val="num" w:pos="480"/>
        </w:tabs>
        <w:ind w:left="480" w:hanging="360"/>
      </w:pPr>
      <w:rPr>
        <w:rFonts w:hint="default"/>
        <w:b w:val="0"/>
      </w:rPr>
    </w:lvl>
    <w:lvl w:ilvl="1" w:tplc="0C0A0019" w:tentative="1">
      <w:start w:val="1"/>
      <w:numFmt w:val="lowerLetter"/>
      <w:lvlText w:val="%2."/>
      <w:lvlJc w:val="left"/>
      <w:pPr>
        <w:tabs>
          <w:tab w:val="num" w:pos="1200"/>
        </w:tabs>
        <w:ind w:left="1200" w:hanging="360"/>
      </w:pPr>
    </w:lvl>
    <w:lvl w:ilvl="2" w:tplc="709221C6" w:tentative="1">
      <w:start w:val="1"/>
      <w:numFmt w:val="lowerRoman"/>
      <w:lvlText w:val="%3."/>
      <w:lvlJc w:val="right"/>
      <w:pPr>
        <w:tabs>
          <w:tab w:val="num" w:pos="1920"/>
        </w:tabs>
        <w:ind w:left="1920" w:hanging="180"/>
      </w:pPr>
    </w:lvl>
    <w:lvl w:ilvl="3" w:tplc="0C0A000F" w:tentative="1">
      <w:start w:val="1"/>
      <w:numFmt w:val="decimal"/>
      <w:lvlText w:val="%4."/>
      <w:lvlJc w:val="left"/>
      <w:pPr>
        <w:tabs>
          <w:tab w:val="num" w:pos="2640"/>
        </w:tabs>
        <w:ind w:left="2640" w:hanging="360"/>
      </w:pPr>
    </w:lvl>
    <w:lvl w:ilvl="4" w:tplc="0C0A0019" w:tentative="1">
      <w:start w:val="1"/>
      <w:numFmt w:val="lowerLetter"/>
      <w:lvlText w:val="%5."/>
      <w:lvlJc w:val="left"/>
      <w:pPr>
        <w:tabs>
          <w:tab w:val="num" w:pos="3360"/>
        </w:tabs>
        <w:ind w:left="3360" w:hanging="360"/>
      </w:pPr>
    </w:lvl>
    <w:lvl w:ilvl="5" w:tplc="0C0A001B" w:tentative="1">
      <w:start w:val="1"/>
      <w:numFmt w:val="lowerRoman"/>
      <w:lvlText w:val="%6."/>
      <w:lvlJc w:val="right"/>
      <w:pPr>
        <w:tabs>
          <w:tab w:val="num" w:pos="4080"/>
        </w:tabs>
        <w:ind w:left="4080" w:hanging="180"/>
      </w:pPr>
    </w:lvl>
    <w:lvl w:ilvl="6" w:tplc="0C0A000F" w:tentative="1">
      <w:start w:val="1"/>
      <w:numFmt w:val="decimal"/>
      <w:lvlText w:val="%7."/>
      <w:lvlJc w:val="left"/>
      <w:pPr>
        <w:tabs>
          <w:tab w:val="num" w:pos="4800"/>
        </w:tabs>
        <w:ind w:left="4800" w:hanging="360"/>
      </w:pPr>
    </w:lvl>
    <w:lvl w:ilvl="7" w:tplc="0C0A0019" w:tentative="1">
      <w:start w:val="1"/>
      <w:numFmt w:val="lowerLetter"/>
      <w:lvlText w:val="%8."/>
      <w:lvlJc w:val="left"/>
      <w:pPr>
        <w:tabs>
          <w:tab w:val="num" w:pos="5520"/>
        </w:tabs>
        <w:ind w:left="5520" w:hanging="360"/>
      </w:pPr>
    </w:lvl>
    <w:lvl w:ilvl="8" w:tplc="0C0A001B" w:tentative="1">
      <w:start w:val="1"/>
      <w:numFmt w:val="lowerRoman"/>
      <w:lvlText w:val="%9."/>
      <w:lvlJc w:val="right"/>
      <w:pPr>
        <w:tabs>
          <w:tab w:val="num" w:pos="6240"/>
        </w:tabs>
        <w:ind w:left="6240" w:hanging="180"/>
      </w:pPr>
    </w:lvl>
  </w:abstractNum>
  <w:abstractNum w:abstractNumId="14">
    <w:nsid w:val="420F6C4B"/>
    <w:multiLevelType w:val="hybridMultilevel"/>
    <w:tmpl w:val="B4328FEE"/>
    <w:lvl w:ilvl="0" w:tplc="A5705B54">
      <w:start w:val="1"/>
      <w:numFmt w:val="lowerRoman"/>
      <w:lvlText w:val="(%1)"/>
      <w:lvlJc w:val="left"/>
      <w:pPr>
        <w:ind w:left="1287" w:hanging="360"/>
      </w:pPr>
      <w:rPr>
        <w:rFonts w:hint="default"/>
        <w:b/>
        <w:i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5">
    <w:nsid w:val="44193628"/>
    <w:multiLevelType w:val="hybridMultilevel"/>
    <w:tmpl w:val="94B681A2"/>
    <w:lvl w:ilvl="0" w:tplc="0C0A001B">
      <w:start w:val="1"/>
      <w:numFmt w:val="lowerRoman"/>
      <w:lvlText w:val="%1."/>
      <w:lvlJc w:val="right"/>
      <w:pPr>
        <w:ind w:left="720" w:hanging="360"/>
      </w:pPr>
      <w:rPr>
        <w:b/>
      </w:rPr>
    </w:lvl>
    <w:lvl w:ilvl="1" w:tplc="BB567E5A">
      <w:start w:val="1"/>
      <w:numFmt w:val="decimal"/>
      <w:lvlText w:val="%2."/>
      <w:lvlJc w:val="left"/>
      <w:pPr>
        <w:ind w:left="1455" w:hanging="375"/>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7">
    <w:nsid w:val="54D656E9"/>
    <w:multiLevelType w:val="hybridMultilevel"/>
    <w:tmpl w:val="DA708F52"/>
    <w:lvl w:ilvl="0" w:tplc="A5705B54">
      <w:start w:val="1"/>
      <w:numFmt w:val="lowerRoman"/>
      <w:lvlText w:val="(%1)"/>
      <w:lvlJc w:val="left"/>
      <w:pPr>
        <w:tabs>
          <w:tab w:val="num" w:pos="360"/>
        </w:tabs>
        <w:ind w:left="360" w:hanging="360"/>
      </w:pPr>
      <w:rPr>
        <w:rFonts w:hint="default"/>
        <w:b/>
      </w:rPr>
    </w:lvl>
    <w:lvl w:ilvl="1" w:tplc="AB5692E8">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55706F67"/>
    <w:multiLevelType w:val="hybridMultilevel"/>
    <w:tmpl w:val="50228332"/>
    <w:lvl w:ilvl="0" w:tplc="AFA4D940">
      <w:start w:val="1"/>
      <w:numFmt w:val="decimal"/>
      <w:lvlText w:val="%1."/>
      <w:lvlJc w:val="left"/>
      <w:pPr>
        <w:tabs>
          <w:tab w:val="num" w:pos="720"/>
        </w:tabs>
        <w:ind w:left="720" w:hanging="360"/>
      </w:pPr>
      <w:rPr>
        <w:sz w:val="12"/>
        <w:szCs w:val="1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9">
    <w:nsid w:val="55D10505"/>
    <w:multiLevelType w:val="hybridMultilevel"/>
    <w:tmpl w:val="E0024B12"/>
    <w:lvl w:ilvl="0" w:tplc="5ACCB444">
      <w:start w:val="1"/>
      <w:numFmt w:val="lowerRoman"/>
      <w:lvlText w:val="%1."/>
      <w:lvlJc w:val="right"/>
      <w:pPr>
        <w:ind w:left="1854" w:hanging="360"/>
      </w:pPr>
      <w:rPr>
        <w:b/>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20">
    <w:nsid w:val="56473656"/>
    <w:multiLevelType w:val="hybridMultilevel"/>
    <w:tmpl w:val="B072B59A"/>
    <w:lvl w:ilvl="0" w:tplc="56684FFC">
      <w:start w:val="1"/>
      <w:numFmt w:val="decimal"/>
      <w:lvlText w:val="%1."/>
      <w:lvlJc w:val="left"/>
      <w:pPr>
        <w:ind w:left="720" w:hanging="360"/>
      </w:pPr>
      <w:rPr>
        <w:b/>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5E193018"/>
    <w:multiLevelType w:val="hybridMultilevel"/>
    <w:tmpl w:val="CC50CAA0"/>
    <w:lvl w:ilvl="0" w:tplc="1AF815EA">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nsid w:val="61356E09"/>
    <w:multiLevelType w:val="hybridMultilevel"/>
    <w:tmpl w:val="A4108FE4"/>
    <w:lvl w:ilvl="0" w:tplc="81064F46">
      <w:start w:val="1"/>
      <w:numFmt w:val="lowerRoman"/>
      <w:lvlText w:val="%1."/>
      <w:lvlJc w:val="right"/>
      <w:pPr>
        <w:ind w:left="1287" w:hanging="360"/>
      </w:pPr>
      <w:rPr>
        <w:b/>
        <w:i w:val="0"/>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3">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4">
    <w:nsid w:val="742A4401"/>
    <w:multiLevelType w:val="hybridMultilevel"/>
    <w:tmpl w:val="E33E7602"/>
    <w:lvl w:ilvl="0" w:tplc="BFBE62CE">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5">
    <w:nsid w:val="7CBF7177"/>
    <w:multiLevelType w:val="hybridMultilevel"/>
    <w:tmpl w:val="882A3CEC"/>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6">
    <w:nsid w:val="7EC759A6"/>
    <w:multiLevelType w:val="hybridMultilevel"/>
    <w:tmpl w:val="921CD5C4"/>
    <w:lvl w:ilvl="0" w:tplc="366C1FBA">
      <w:start w:val="1"/>
      <w:numFmt w:val="decimal"/>
      <w:lvlText w:val="%1."/>
      <w:lvlJc w:val="left"/>
      <w:pPr>
        <w:tabs>
          <w:tab w:val="num" w:pos="360"/>
        </w:tabs>
        <w:ind w:left="360" w:hanging="360"/>
      </w:pPr>
      <w:rPr>
        <w:rFonts w:hint="default"/>
        <w:b/>
        <w:sz w:val="20"/>
        <w:szCs w:val="20"/>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7">
    <w:nsid w:val="7FD864EF"/>
    <w:multiLevelType w:val="hybridMultilevel"/>
    <w:tmpl w:val="022A51C2"/>
    <w:lvl w:ilvl="0" w:tplc="4E0EE90C">
      <w:start w:val="2"/>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2"/>
  </w:num>
  <w:num w:numId="4">
    <w:abstractNumId w:val="1"/>
  </w:num>
  <w:num w:numId="5">
    <w:abstractNumId w:val="26"/>
  </w:num>
  <w:num w:numId="6">
    <w:abstractNumId w:val="22"/>
  </w:num>
  <w:num w:numId="7">
    <w:abstractNumId w:val="20"/>
  </w:num>
  <w:num w:numId="8">
    <w:abstractNumId w:val="25"/>
  </w:num>
  <w:num w:numId="9">
    <w:abstractNumId w:val="18"/>
  </w:num>
  <w:num w:numId="10">
    <w:abstractNumId w:val="15"/>
  </w:num>
  <w:num w:numId="11">
    <w:abstractNumId w:val="4"/>
  </w:num>
  <w:num w:numId="12">
    <w:abstractNumId w:val="11"/>
  </w:num>
  <w:num w:numId="13">
    <w:abstractNumId w:val="2"/>
  </w:num>
  <w:num w:numId="14">
    <w:abstractNumId w:val="13"/>
  </w:num>
  <w:num w:numId="15">
    <w:abstractNumId w:val="19"/>
  </w:num>
  <w:num w:numId="16">
    <w:abstractNumId w:val="10"/>
  </w:num>
  <w:num w:numId="17">
    <w:abstractNumId w:val="21"/>
  </w:num>
  <w:num w:numId="18">
    <w:abstractNumId w:val="9"/>
  </w:num>
  <w:num w:numId="19">
    <w:abstractNumId w:val="23"/>
  </w:num>
  <w:num w:numId="20">
    <w:abstractNumId w:val="14"/>
  </w:num>
  <w:num w:numId="21">
    <w:abstractNumId w:val="6"/>
  </w:num>
  <w:num w:numId="22">
    <w:abstractNumId w:val="16"/>
  </w:num>
  <w:num w:numId="23">
    <w:abstractNumId w:val="8"/>
  </w:num>
  <w:num w:numId="24">
    <w:abstractNumId w:val="3"/>
  </w:num>
  <w:num w:numId="25">
    <w:abstractNumId w:val="0"/>
  </w:num>
  <w:num w:numId="26">
    <w:abstractNumId w:val="24"/>
  </w:num>
  <w:num w:numId="27">
    <w:abstractNumId w:val="1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6626"/>
  </w:hdrShapeDefaults>
  <w:footnotePr>
    <w:footnote w:id="0"/>
    <w:footnote w:id="1"/>
  </w:footnotePr>
  <w:endnotePr>
    <w:endnote w:id="0"/>
    <w:endnote w:id="1"/>
  </w:endnotePr>
  <w:compat/>
  <w:rsids>
    <w:rsidRoot w:val="00E13E6B"/>
    <w:rsid w:val="00000BF4"/>
    <w:rsid w:val="00016207"/>
    <w:rsid w:val="00027FB1"/>
    <w:rsid w:val="00036145"/>
    <w:rsid w:val="00041FBA"/>
    <w:rsid w:val="0005582F"/>
    <w:rsid w:val="00076C20"/>
    <w:rsid w:val="00082DF1"/>
    <w:rsid w:val="000B0A8A"/>
    <w:rsid w:val="000B0CEB"/>
    <w:rsid w:val="000B6C24"/>
    <w:rsid w:val="000D61B8"/>
    <w:rsid w:val="000E3E0B"/>
    <w:rsid w:val="000E5424"/>
    <w:rsid w:val="001016D9"/>
    <w:rsid w:val="001337F7"/>
    <w:rsid w:val="00140241"/>
    <w:rsid w:val="00140DE4"/>
    <w:rsid w:val="00163673"/>
    <w:rsid w:val="00164CC7"/>
    <w:rsid w:val="001776B6"/>
    <w:rsid w:val="00187209"/>
    <w:rsid w:val="00187E2A"/>
    <w:rsid w:val="001B4BA2"/>
    <w:rsid w:val="001C5BD6"/>
    <w:rsid w:val="001D44C0"/>
    <w:rsid w:val="001E448B"/>
    <w:rsid w:val="001E71F0"/>
    <w:rsid w:val="001F5C44"/>
    <w:rsid w:val="00206094"/>
    <w:rsid w:val="00212DCC"/>
    <w:rsid w:val="00214D5E"/>
    <w:rsid w:val="00222218"/>
    <w:rsid w:val="0022267E"/>
    <w:rsid w:val="00231184"/>
    <w:rsid w:val="0023169C"/>
    <w:rsid w:val="00254249"/>
    <w:rsid w:val="002837D2"/>
    <w:rsid w:val="00295C50"/>
    <w:rsid w:val="00331E1A"/>
    <w:rsid w:val="003430DE"/>
    <w:rsid w:val="00351F6F"/>
    <w:rsid w:val="00360AFE"/>
    <w:rsid w:val="003B4F9C"/>
    <w:rsid w:val="004255A5"/>
    <w:rsid w:val="00440D71"/>
    <w:rsid w:val="00442AC8"/>
    <w:rsid w:val="004515EA"/>
    <w:rsid w:val="00455F96"/>
    <w:rsid w:val="00466DC8"/>
    <w:rsid w:val="00484F8C"/>
    <w:rsid w:val="004B72CA"/>
    <w:rsid w:val="004C487F"/>
    <w:rsid w:val="004C5043"/>
    <w:rsid w:val="004E1A73"/>
    <w:rsid w:val="004F2CC5"/>
    <w:rsid w:val="00531D1E"/>
    <w:rsid w:val="005521E5"/>
    <w:rsid w:val="00567032"/>
    <w:rsid w:val="0057348B"/>
    <w:rsid w:val="005B0EEA"/>
    <w:rsid w:val="005B1E24"/>
    <w:rsid w:val="005E3E1C"/>
    <w:rsid w:val="005E6E6D"/>
    <w:rsid w:val="005F3C91"/>
    <w:rsid w:val="00635F2E"/>
    <w:rsid w:val="00642EE3"/>
    <w:rsid w:val="00645B41"/>
    <w:rsid w:val="0065269D"/>
    <w:rsid w:val="006550D3"/>
    <w:rsid w:val="006B6377"/>
    <w:rsid w:val="006C0A94"/>
    <w:rsid w:val="006C2E41"/>
    <w:rsid w:val="006C5B6A"/>
    <w:rsid w:val="006D0A8D"/>
    <w:rsid w:val="006D2E88"/>
    <w:rsid w:val="006E4E4E"/>
    <w:rsid w:val="006E5571"/>
    <w:rsid w:val="006E5BF8"/>
    <w:rsid w:val="006F0656"/>
    <w:rsid w:val="006F3B1E"/>
    <w:rsid w:val="0074555F"/>
    <w:rsid w:val="007570AE"/>
    <w:rsid w:val="00763CC8"/>
    <w:rsid w:val="00766749"/>
    <w:rsid w:val="007728C3"/>
    <w:rsid w:val="007B32A4"/>
    <w:rsid w:val="007D7DEB"/>
    <w:rsid w:val="007D7E70"/>
    <w:rsid w:val="007E4F29"/>
    <w:rsid w:val="008011A4"/>
    <w:rsid w:val="00822C2F"/>
    <w:rsid w:val="00826B5E"/>
    <w:rsid w:val="00835165"/>
    <w:rsid w:val="008422E3"/>
    <w:rsid w:val="008734E8"/>
    <w:rsid w:val="00903A92"/>
    <w:rsid w:val="009066F9"/>
    <w:rsid w:val="00920048"/>
    <w:rsid w:val="0092385F"/>
    <w:rsid w:val="0092699F"/>
    <w:rsid w:val="00932E06"/>
    <w:rsid w:val="00952222"/>
    <w:rsid w:val="00982D52"/>
    <w:rsid w:val="00992FEE"/>
    <w:rsid w:val="00993C05"/>
    <w:rsid w:val="009B3C77"/>
    <w:rsid w:val="009C2CF7"/>
    <w:rsid w:val="009E1F2A"/>
    <w:rsid w:val="009E3BC8"/>
    <w:rsid w:val="00A36836"/>
    <w:rsid w:val="00A52C81"/>
    <w:rsid w:val="00A9776E"/>
    <w:rsid w:val="00AA6BAC"/>
    <w:rsid w:val="00AA7525"/>
    <w:rsid w:val="00AB0F61"/>
    <w:rsid w:val="00AD4AB5"/>
    <w:rsid w:val="00AE41DD"/>
    <w:rsid w:val="00B05429"/>
    <w:rsid w:val="00B06760"/>
    <w:rsid w:val="00B1735A"/>
    <w:rsid w:val="00B25FCD"/>
    <w:rsid w:val="00B31BA1"/>
    <w:rsid w:val="00B71CFC"/>
    <w:rsid w:val="00BE51B2"/>
    <w:rsid w:val="00BE67EB"/>
    <w:rsid w:val="00C100CC"/>
    <w:rsid w:val="00C127C1"/>
    <w:rsid w:val="00C15ECB"/>
    <w:rsid w:val="00C5251B"/>
    <w:rsid w:val="00C8148D"/>
    <w:rsid w:val="00C866D0"/>
    <w:rsid w:val="00CB4799"/>
    <w:rsid w:val="00CC3859"/>
    <w:rsid w:val="00CC52A3"/>
    <w:rsid w:val="00D002B4"/>
    <w:rsid w:val="00D069FF"/>
    <w:rsid w:val="00D115F8"/>
    <w:rsid w:val="00D13BC9"/>
    <w:rsid w:val="00D43251"/>
    <w:rsid w:val="00D445DC"/>
    <w:rsid w:val="00DA127C"/>
    <w:rsid w:val="00DA2C25"/>
    <w:rsid w:val="00DB2F75"/>
    <w:rsid w:val="00DB756D"/>
    <w:rsid w:val="00DC3001"/>
    <w:rsid w:val="00DD1154"/>
    <w:rsid w:val="00DD589B"/>
    <w:rsid w:val="00E124B8"/>
    <w:rsid w:val="00E13E6B"/>
    <w:rsid w:val="00E1470E"/>
    <w:rsid w:val="00E633EF"/>
    <w:rsid w:val="00E77676"/>
    <w:rsid w:val="00E964AA"/>
    <w:rsid w:val="00EC4953"/>
    <w:rsid w:val="00EE4815"/>
    <w:rsid w:val="00EE7A6B"/>
    <w:rsid w:val="00F3647A"/>
    <w:rsid w:val="00F4438A"/>
    <w:rsid w:val="00F50510"/>
    <w:rsid w:val="00F66D53"/>
    <w:rsid w:val="00F77525"/>
    <w:rsid w:val="00F95796"/>
    <w:rsid w:val="00FE6FD2"/>
    <w:rsid w:val="00FF6B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E6B"/>
    <w:pPr>
      <w:spacing w:after="0" w:line="240" w:lineRule="auto"/>
    </w:pPr>
    <w:rPr>
      <w:rFonts w:ascii="Times New Roman" w:eastAsia="Calibri" w:hAnsi="Times New Roman" w:cs="Times New Roman"/>
      <w:sz w:val="24"/>
      <w:szCs w:val="24"/>
      <w:lang w:eastAsia="es-ES"/>
    </w:rPr>
  </w:style>
  <w:style w:type="paragraph" w:styleId="Ttulo1">
    <w:name w:val="heading 1"/>
    <w:basedOn w:val="Normal"/>
    <w:next w:val="Normal"/>
    <w:link w:val="Ttulo1Car"/>
    <w:uiPriority w:val="9"/>
    <w:qFormat/>
    <w:rsid w:val="00EC49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EC49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E13E6B"/>
    <w:pPr>
      <w:tabs>
        <w:tab w:val="center" w:pos="4252"/>
        <w:tab w:val="right" w:pos="8504"/>
      </w:tabs>
    </w:pPr>
  </w:style>
  <w:style w:type="character" w:customStyle="1" w:styleId="PiedepginaCar">
    <w:name w:val="Pie de página Car"/>
    <w:basedOn w:val="Fuentedeprrafopredeter"/>
    <w:link w:val="Piedepgina"/>
    <w:rsid w:val="00E13E6B"/>
    <w:rPr>
      <w:rFonts w:ascii="Times New Roman" w:eastAsia="Calibri" w:hAnsi="Times New Roman" w:cs="Times New Roman"/>
      <w:sz w:val="24"/>
      <w:szCs w:val="24"/>
      <w:lang w:eastAsia="es-ES"/>
    </w:rPr>
  </w:style>
  <w:style w:type="paragraph" w:customStyle="1" w:styleId="Textoindependiente21">
    <w:name w:val="Texto independiente 21"/>
    <w:basedOn w:val="Normal"/>
    <w:rsid w:val="00E13E6B"/>
    <w:pPr>
      <w:jc w:val="both"/>
    </w:pPr>
    <w:rPr>
      <w:rFonts w:ascii="Tahoma" w:hAnsi="Tahoma"/>
      <w:sz w:val="22"/>
      <w:szCs w:val="20"/>
    </w:rPr>
  </w:style>
  <w:style w:type="paragraph" w:styleId="Textoindependiente3">
    <w:name w:val="Body Text 3"/>
    <w:basedOn w:val="Normal"/>
    <w:link w:val="Textoindependiente3Car"/>
    <w:rsid w:val="00E13E6B"/>
    <w:pPr>
      <w:jc w:val="center"/>
    </w:pPr>
    <w:rPr>
      <w:rFonts w:ascii="Arial" w:eastAsia="Batang" w:hAnsi="Arial"/>
      <w:b/>
      <w:sz w:val="20"/>
      <w:szCs w:val="20"/>
      <w:lang w:val="es-PE"/>
    </w:rPr>
  </w:style>
  <w:style w:type="character" w:customStyle="1" w:styleId="Textoindependiente3Car">
    <w:name w:val="Texto independiente 3 Car"/>
    <w:basedOn w:val="Fuentedeprrafopredeter"/>
    <w:link w:val="Textoindependiente3"/>
    <w:rsid w:val="00E13E6B"/>
    <w:rPr>
      <w:rFonts w:ascii="Arial" w:eastAsia="Batang" w:hAnsi="Arial" w:cs="Times New Roman"/>
      <w:b/>
      <w:sz w:val="20"/>
      <w:szCs w:val="20"/>
      <w:lang w:val="es-PE" w:eastAsia="es-ES"/>
    </w:rPr>
  </w:style>
  <w:style w:type="paragraph" w:styleId="Textoindependiente">
    <w:name w:val="Body Text"/>
    <w:basedOn w:val="Normal"/>
    <w:link w:val="TextoindependienteCar"/>
    <w:rsid w:val="00E13E6B"/>
    <w:pPr>
      <w:spacing w:after="120"/>
    </w:pPr>
  </w:style>
  <w:style w:type="character" w:customStyle="1" w:styleId="TextoindependienteCar">
    <w:name w:val="Texto independiente Car"/>
    <w:basedOn w:val="Fuentedeprrafopredeter"/>
    <w:link w:val="Textoindependiente"/>
    <w:rsid w:val="00E13E6B"/>
    <w:rPr>
      <w:rFonts w:ascii="Times New Roman" w:eastAsia="Calibri" w:hAnsi="Times New Roman" w:cs="Times New Roman"/>
      <w:sz w:val="24"/>
      <w:szCs w:val="24"/>
      <w:lang w:eastAsia="es-ES"/>
    </w:rPr>
  </w:style>
  <w:style w:type="paragraph" w:styleId="Textonotapie">
    <w:name w:val="footnote text"/>
    <w:aliases w:val="Car, Car,Car Car Car, Car4,Texto nota pie1,Body Text,Car4, Car2 Car Car Car Car Car, Car2 Car, Car2, Car1 Car,Car1 Car, Car2 Car1 Car,Car2 Car Car Car Car Car,Car2 Car Car,Car2 Car Car Car Car Car Car, Car1, Car Car Car"/>
    <w:basedOn w:val="Normal"/>
    <w:link w:val="TextonotapieCar"/>
    <w:rsid w:val="00E13E6B"/>
    <w:rPr>
      <w:sz w:val="20"/>
      <w:szCs w:val="20"/>
    </w:rPr>
  </w:style>
  <w:style w:type="character" w:customStyle="1" w:styleId="TextonotapieCar">
    <w:name w:val="Texto nota pie Car"/>
    <w:aliases w:val="Car Car, Car Car,Car Car Car Car, Car4 Car,Texto nota pie1 Car,Body Text Car,Car4 Car, Car2 Car Car Car Car Car Car, Car2 Car Car, Car2 Car1, Car1 Car Car,Car1 Car Car, Car2 Car1 Car Car,Car2 Car Car Car Car Car Car1,Car2 Car Car Car"/>
    <w:basedOn w:val="Fuentedeprrafopredeter"/>
    <w:link w:val="Textonotapie"/>
    <w:rsid w:val="00E13E6B"/>
    <w:rPr>
      <w:rFonts w:ascii="Times New Roman" w:eastAsia="Calibri" w:hAnsi="Times New Roman" w:cs="Times New Roman"/>
      <w:sz w:val="20"/>
      <w:szCs w:val="20"/>
      <w:lang w:eastAsia="es-ES"/>
    </w:rPr>
  </w:style>
  <w:style w:type="character" w:styleId="Refdenotaalpie">
    <w:name w:val="footnote reference"/>
    <w:basedOn w:val="Fuentedeprrafopredeter"/>
    <w:rsid w:val="00E13E6B"/>
    <w:rPr>
      <w:rFonts w:cs="Times New Roman"/>
      <w:vertAlign w:val="superscript"/>
    </w:rPr>
  </w:style>
  <w:style w:type="paragraph" w:styleId="Prrafodelista">
    <w:name w:val="List Paragraph"/>
    <w:basedOn w:val="Normal"/>
    <w:uiPriority w:val="34"/>
    <w:qFormat/>
    <w:rsid w:val="00E13E6B"/>
    <w:pPr>
      <w:ind w:left="720"/>
      <w:contextualSpacing/>
    </w:pPr>
    <w:rPr>
      <w:rFonts w:eastAsia="Times New Roman"/>
      <w:sz w:val="20"/>
      <w:szCs w:val="20"/>
      <w:lang w:eastAsia="es-PE"/>
    </w:rPr>
  </w:style>
  <w:style w:type="paragraph" w:styleId="Sangradetextonormal">
    <w:name w:val="Body Text Indent"/>
    <w:basedOn w:val="Normal"/>
    <w:link w:val="SangradetextonormalCar"/>
    <w:unhideWhenUsed/>
    <w:rsid w:val="00E13E6B"/>
    <w:pPr>
      <w:spacing w:after="120"/>
      <w:ind w:left="283"/>
    </w:pPr>
    <w:rPr>
      <w:rFonts w:eastAsia="Times New Roman"/>
    </w:rPr>
  </w:style>
  <w:style w:type="character" w:customStyle="1" w:styleId="SangradetextonormalCar">
    <w:name w:val="Sangría de texto normal Car"/>
    <w:basedOn w:val="Fuentedeprrafopredeter"/>
    <w:link w:val="Sangradetextonormal"/>
    <w:rsid w:val="00E13E6B"/>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E13E6B"/>
    <w:pPr>
      <w:spacing w:after="120" w:line="480" w:lineRule="auto"/>
    </w:pPr>
  </w:style>
  <w:style w:type="character" w:customStyle="1" w:styleId="Textoindependiente2Car">
    <w:name w:val="Texto independiente 2 Car"/>
    <w:basedOn w:val="Fuentedeprrafopredeter"/>
    <w:link w:val="Textoindependiente2"/>
    <w:uiPriority w:val="99"/>
    <w:semiHidden/>
    <w:rsid w:val="00E13E6B"/>
    <w:rPr>
      <w:rFonts w:ascii="Times New Roman" w:eastAsia="Calibri" w:hAnsi="Times New Roman" w:cs="Times New Roman"/>
      <w:sz w:val="24"/>
      <w:szCs w:val="24"/>
      <w:lang w:eastAsia="es-ES"/>
    </w:rPr>
  </w:style>
  <w:style w:type="paragraph" w:styleId="Sinespaciado">
    <w:name w:val="No Spacing"/>
    <w:uiPriority w:val="1"/>
    <w:qFormat/>
    <w:rsid w:val="00F77525"/>
    <w:pPr>
      <w:spacing w:after="0" w:line="240" w:lineRule="auto"/>
    </w:pPr>
    <w:rPr>
      <w:rFonts w:ascii="Calibri" w:eastAsia="Times New Roman" w:hAnsi="Calibri" w:cs="Times New Roman"/>
      <w:lang w:eastAsia="es-ES"/>
    </w:rPr>
  </w:style>
  <w:style w:type="paragraph" w:styleId="HTMLconformatoprevio">
    <w:name w:val="HTML Preformatted"/>
    <w:basedOn w:val="Normal"/>
    <w:link w:val="HTMLconformatoprevioCar"/>
    <w:unhideWhenUsed/>
    <w:rsid w:val="0055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conformatoprevioCar">
    <w:name w:val="HTML con formato previo Car"/>
    <w:basedOn w:val="Fuentedeprrafopredeter"/>
    <w:link w:val="HTMLconformatoprevio"/>
    <w:rsid w:val="005521E5"/>
    <w:rPr>
      <w:rFonts w:ascii="Courier New" w:eastAsia="Times New Roman" w:hAnsi="Courier New" w:cs="Courier New"/>
      <w:color w:val="000000"/>
      <w:sz w:val="20"/>
      <w:szCs w:val="20"/>
      <w:lang w:eastAsia="es-ES"/>
    </w:rPr>
  </w:style>
  <w:style w:type="table" w:styleId="Tablaconcuadrcula">
    <w:name w:val="Table Grid"/>
    <w:basedOn w:val="Tablanormal"/>
    <w:uiPriority w:val="59"/>
    <w:rsid w:val="00766749"/>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EC495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rsid w:val="00EC4953"/>
    <w:rPr>
      <w:rFonts w:asciiTheme="majorHAnsi" w:eastAsiaTheme="majorEastAsia" w:hAnsiTheme="majorHAnsi" w:cstheme="majorBidi"/>
      <w:b/>
      <w:bCs/>
      <w:color w:val="4F81BD" w:themeColor="accent1"/>
      <w:sz w:val="26"/>
      <w:szCs w:val="26"/>
      <w:lang w:eastAsia="es-ES"/>
    </w:rPr>
  </w:style>
  <w:style w:type="paragraph" w:styleId="Lista">
    <w:name w:val="List"/>
    <w:basedOn w:val="Normal"/>
    <w:uiPriority w:val="99"/>
    <w:unhideWhenUsed/>
    <w:rsid w:val="00EC4953"/>
    <w:pPr>
      <w:ind w:left="283" w:hanging="283"/>
      <w:contextualSpacing/>
    </w:pPr>
  </w:style>
  <w:style w:type="paragraph" w:styleId="Lista2">
    <w:name w:val="List 2"/>
    <w:basedOn w:val="Normal"/>
    <w:uiPriority w:val="99"/>
    <w:unhideWhenUsed/>
    <w:rsid w:val="00EC4953"/>
    <w:pPr>
      <w:ind w:left="566" w:hanging="283"/>
      <w:contextualSpacing/>
    </w:pPr>
  </w:style>
  <w:style w:type="paragraph" w:styleId="Textoindependienteprimerasangra">
    <w:name w:val="Body Text First Indent"/>
    <w:basedOn w:val="Textoindependiente"/>
    <w:link w:val="TextoindependienteprimerasangraCar"/>
    <w:uiPriority w:val="99"/>
    <w:unhideWhenUsed/>
    <w:rsid w:val="00EC4953"/>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EC4953"/>
  </w:style>
  <w:style w:type="paragraph" w:styleId="Textoindependienteprimerasangra2">
    <w:name w:val="Body Text First Indent 2"/>
    <w:basedOn w:val="Sangradetextonormal"/>
    <w:link w:val="Textoindependienteprimerasangra2Car"/>
    <w:uiPriority w:val="99"/>
    <w:unhideWhenUsed/>
    <w:rsid w:val="00EC4953"/>
    <w:pPr>
      <w:spacing w:after="0"/>
      <w:ind w:left="360" w:firstLine="360"/>
    </w:pPr>
    <w:rPr>
      <w:rFonts w:eastAsia="Calibri"/>
    </w:rPr>
  </w:style>
  <w:style w:type="character" w:customStyle="1" w:styleId="Textoindependienteprimerasangra2Car">
    <w:name w:val="Texto independiente primera sangría 2 Car"/>
    <w:basedOn w:val="SangradetextonormalCar"/>
    <w:link w:val="Textoindependienteprimerasangra2"/>
    <w:uiPriority w:val="99"/>
    <w:rsid w:val="00EC4953"/>
    <w:rPr>
      <w:rFonts w:eastAsia="Calibri"/>
    </w:rPr>
  </w:style>
  <w:style w:type="paragraph" w:customStyle="1" w:styleId="msonormalcxspmiddle">
    <w:name w:val="msonormalcxspmiddle"/>
    <w:basedOn w:val="Normal"/>
    <w:rsid w:val="005E6E6D"/>
    <w:pPr>
      <w:spacing w:before="100" w:beforeAutospacing="1" w:after="100" w:afterAutospacing="1"/>
    </w:pPr>
    <w:rPr>
      <w:rFonts w:eastAsia="Times New Roman"/>
    </w:rPr>
  </w:style>
  <w:style w:type="paragraph" w:customStyle="1" w:styleId="WW-Textosinformato">
    <w:name w:val="WW-Texto sin formato"/>
    <w:basedOn w:val="Normal"/>
    <w:rsid w:val="00076C20"/>
    <w:pPr>
      <w:suppressAutoHyphens/>
    </w:pPr>
    <w:rPr>
      <w:rFonts w:ascii="Courier New" w:eastAsia="MS Mincho" w:hAnsi="Courier New"/>
      <w:sz w:val="20"/>
      <w:szCs w:val="20"/>
      <w:lang w:val="es-PE"/>
    </w:rPr>
  </w:style>
  <w:style w:type="paragraph" w:styleId="Encabezado">
    <w:name w:val="header"/>
    <w:aliases w:val="maria,h"/>
    <w:basedOn w:val="Normal"/>
    <w:link w:val="EncabezadoCar"/>
    <w:uiPriority w:val="99"/>
    <w:semiHidden/>
    <w:unhideWhenUsed/>
    <w:rsid w:val="007B32A4"/>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7B32A4"/>
    <w:rPr>
      <w:rFonts w:ascii="Times New Roman" w:eastAsia="Calibri"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43779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14</Pages>
  <Words>5831</Words>
  <Characters>32074</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122</cp:revision>
  <cp:lastPrinted>2011-05-27T21:35:00Z</cp:lastPrinted>
  <dcterms:created xsi:type="dcterms:W3CDTF">2010-04-16T12:41:00Z</dcterms:created>
  <dcterms:modified xsi:type="dcterms:W3CDTF">2011-06-22T14:20:00Z</dcterms:modified>
</cp:coreProperties>
</file>